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hanging="0"/>
        <w:jc w:val="center"/>
        <w:rPr>
          <w:sz w:val="32"/>
          <w:szCs w:val="32"/>
        </w:rPr>
      </w:pPr>
      <w:r>
        <w:rPr>
          <w:sz w:val="32"/>
          <w:szCs w:val="32"/>
        </w:rPr>
        <w:t>OSNOVNA ŠKOLA SKRADIN</w:t>
      </w:r>
    </w:p>
    <w:p>
      <w:pPr>
        <w:pStyle w:val="Normal"/>
        <w:spacing w:lineRule="auto" w:line="240" w:before="0" w:after="0"/>
        <w:ind w:hanging="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40"/>
          <w:szCs w:val="36"/>
        </w:rPr>
      </w:pPr>
      <w:r>
        <w:rPr>
          <w:rFonts w:cs="Calibri" w:cstheme="minorHAnsi"/>
          <w:b/>
          <w:sz w:val="40"/>
          <w:szCs w:val="36"/>
        </w:rPr>
        <w:t>KRITERIJI PRAĆENJA I OCJENJIVANJA</w:t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  <w:t>(prema Kurikulima nastavnih predmeta)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  <w:t>4. razred osnovne škole</w:t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right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  <w:t>Suzana Tokić, dipl.uč.</w:t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ind w:left="-426" w:hanging="0"/>
        <w:jc w:val="center"/>
        <w:rPr>
          <w:rFonts w:cs="Calibri" w:cstheme="minorHAnsi"/>
          <w:b/>
          <w:b/>
          <w:sz w:val="3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32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/>
          <w:sz w:val="32"/>
        </w:rPr>
      </w:pPr>
      <w:r>
        <w:rPr>
          <w:rFonts w:cs="Calibri" w:cstheme="minorHAnsi"/>
          <w:b/>
          <w:sz w:val="32"/>
        </w:rPr>
      </w:r>
    </w:p>
    <w:p>
      <w:pPr>
        <w:pStyle w:val="Normal"/>
        <w:ind w:firstLine="539"/>
        <w:jc w:val="both"/>
        <w:rPr>
          <w:rFonts w:cs="Calibri" w:cstheme="minorHAnsi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firstLine="539"/>
        <w:jc w:val="both"/>
        <w:rPr>
          <w:rFonts w:cs="Calibri" w:cstheme="minorHAnsi"/>
          <w:sz w:val="24"/>
          <w:szCs w:val="24"/>
        </w:rPr>
      </w:pPr>
      <w:r>
        <w:rPr/>
      </w:r>
    </w:p>
    <w:p>
      <w:pPr>
        <w:pStyle w:val="Normal"/>
        <w:ind w:firstLine="357"/>
        <w:jc w:val="both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ind w:firstLine="357"/>
        <w:jc w:val="both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ind w:firstLine="357"/>
        <w:rPr>
          <w:rFonts w:cs="Calibri" w:cstheme="minorHAnsi"/>
          <w:b/>
          <w:b/>
          <w:sz w:val="24"/>
        </w:rPr>
      </w:pPr>
      <w:r>
        <w:rPr>
          <w:rFonts w:cs="Calibri" w:cstheme="minorHAnsi"/>
          <w:b/>
          <w:sz w:val="24"/>
        </w:rPr>
        <w:t xml:space="preserve">Prijedlog postotne skale za ocjenjivanje pisanih provjera </w:t>
      </w:r>
    </w:p>
    <w:tbl>
      <w:tblPr>
        <w:tblStyle w:val="Reetkatablice"/>
        <w:tblW w:w="7938" w:type="dxa"/>
        <w:jc w:val="left"/>
        <w:tblInd w:w="268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9"/>
        <w:gridCol w:w="3968"/>
      </w:tblGrid>
      <w:tr>
        <w:trPr/>
        <w:tc>
          <w:tcPr>
            <w:tcW w:w="3969" w:type="dxa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POSTOTAK</w:t>
            </w:r>
          </w:p>
        </w:tc>
        <w:tc>
          <w:tcPr>
            <w:tcW w:w="3968" w:type="dxa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OCJENA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0  % – 50 %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nedovoljan (1)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51 %  - 63 %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dovoljan (2)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64 % - 78 %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dobar (3)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79% - 90 %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vrlo dobar (4)</w:t>
            </w:r>
          </w:p>
        </w:tc>
      </w:tr>
      <w:tr>
        <w:trPr/>
        <w:tc>
          <w:tcPr>
            <w:tcW w:w="396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91% - 100 %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odličan (5)</w:t>
            </w:r>
          </w:p>
        </w:tc>
      </w:tr>
    </w:tbl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Objašnjenje za računanje bodova prema navedenoj postotnoj skali na primjeru pisane provjere koja ima 24 boda.</w:t>
      </w:r>
    </w:p>
    <w:p>
      <w:pPr>
        <w:pStyle w:val="Normal"/>
        <w:ind w:left="1416" w:firstLine="708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ocjena nedovoljan – 0 – 11 bodova</w:t>
      </w:r>
    </w:p>
    <w:p>
      <w:pPr>
        <w:pStyle w:val="Normal"/>
        <w:rPr>
          <w:rFonts w:cs="Calibri" w:cstheme="minorHAnsi"/>
          <w:sz w:val="24"/>
          <w:szCs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 wp14:anchorId="24F6AA6B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229235" cy="1090295"/>
                <wp:effectExtent l="0" t="0" r="19050" b="15240"/>
                <wp:wrapNone/>
                <wp:docPr id="1" name="Zaobljeni pravokutnik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89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="Calibri" w:cstheme="minorHAnsi"/>
          <w:sz w:val="24"/>
          <w:szCs w:val="24"/>
        </w:rPr>
        <w:t>51 ∙ 24  : 100 = 12.2 - ocjena dovoljan – 12 - 14 bodova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64 ∙ 24  : 100 = 15.3 - ocjena dobar – 15 - 18 bodova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79 ∙ 24  : 100 = 18.9 - ocjena vrlo dobar – 19 - 21 boda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91 ∙ 24  : 100 = 21.8 - ocjena odličan – 22 - 24 boda</w:t>
      </w:r>
    </w:p>
    <w:p>
      <w:pPr>
        <w:pStyle w:val="Normal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3488157D">
                <wp:simplePos x="0" y="0"/>
                <wp:positionH relativeFrom="column">
                  <wp:posOffset>654685</wp:posOffset>
                </wp:positionH>
                <wp:positionV relativeFrom="paragraph">
                  <wp:posOffset>77470</wp:posOffset>
                </wp:positionV>
                <wp:extent cx="1517015" cy="274955"/>
                <wp:effectExtent l="209550" t="171450" r="26670" b="11430"/>
                <wp:wrapNone/>
                <wp:docPr id="2" name="Oblačić s crtom 1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20" cy="274320"/>
                        </a:xfrm>
                        <a:prstGeom prst="borderCallout1">
                          <a:avLst>
                            <a:gd name="adj1" fmla="val -3760"/>
                            <a:gd name="adj2" fmla="val 210"/>
                            <a:gd name="adj3" fmla="val -62022"/>
                            <a:gd name="adj4" fmla="val -12705"/>
                          </a:avLst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spacing w:before="0" w:after="16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broj bodova u provjeri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shapetype_180" coordsize="21600,21600" o:spt="180" adj="-8280,24300,-1800,4050" path="m,l21600,l21600,21600l,21600xem@1@0l@3@2nfe">
                <v:stroke joinstyle="miter"/>
                <v:formulas>
                  <v:f eqn="val #3"/>
                  <v:f eqn="val #2"/>
                  <v:f eqn="val #1"/>
                  <v:f eqn="val #0"/>
                </v:formulas>
                <v:path gradientshapeok="t" o:connecttype="rect" textboxrect="0,0,21600,21600"/>
                <v:handles>
                  <v:h position="@1,@0"/>
                  <v:h position="@3,@2"/>
                </v:handles>
              </v:shapetype>
              <v:shape id="shape_0" ID="Oblačić s crtom 1 3" stroked="t" style="position:absolute;margin-left:51.55pt;margin-top:6.1pt;width:119.35pt;height:21.55pt;v-text-anchor:middle" wp14:anchorId="3488157D" type="shapetype_180">
                <w10:wrap type="none"/>
                <v:fill o:detectmouseclick="t" on="false"/>
                <v:stroke color="#c00000" weight="12600" joinstyle="miter" endcap="flat"/>
                <v:textbox>
                  <w:txbxContent>
                    <w:p>
                      <w:pPr>
                        <w:pStyle w:val="Sadrajokvira"/>
                        <w:spacing w:before="0" w:after="16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broj bodova u provjeri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Box459587"/>
        <w:spacing w:before="280" w:after="280"/>
        <w:ind w:firstLine="357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Nakon cjelogodišnjeg praćenja zadatak učitelja je donijeti zaključnu ocjenu. Ona nije niti treba biti  aritmetička sredina pojedinačnih ocjena već se oblikuje temeljem svih prikupljenih informacija o ostvarivanju odgojno-obrazovnih ishoda. Kako se svi elementi vrednovanja po svim nastavnim predmetima isprepliću, tako su i jednako vrijedni pri donošenju zaključne ocjene. </w:t>
      </w:r>
    </w:p>
    <w:p>
      <w:pPr>
        <w:pStyle w:val="Normal"/>
        <w:jc w:val="center"/>
        <w:rPr>
          <w:rFonts w:cs="Calibri" w:cstheme="minorHAnsi"/>
          <w:b/>
          <w:b/>
          <w:sz w:val="40"/>
        </w:rPr>
      </w:pPr>
      <w:r>
        <w:rPr/>
      </w:r>
    </w:p>
    <w:p>
      <w:pPr>
        <w:pStyle w:val="Normal"/>
        <w:jc w:val="center"/>
        <w:rPr>
          <w:rFonts w:cs="Calibri" w:cstheme="minorHAnsi"/>
          <w:b/>
          <w:b/>
          <w:sz w:val="40"/>
        </w:rPr>
      </w:pPr>
      <w:r>
        <w:rPr/>
      </w:r>
    </w:p>
    <w:p>
      <w:pPr>
        <w:pStyle w:val="Normal"/>
        <w:jc w:val="center"/>
        <w:rPr>
          <w:rFonts w:cs="Calibri" w:cstheme="minorHAnsi"/>
          <w:b/>
          <w:b/>
          <w:sz w:val="40"/>
        </w:rPr>
      </w:pPr>
      <w:r>
        <w:rPr>
          <w:rFonts w:cs="Calibri" w:cstheme="minorHAnsi"/>
          <w:b/>
          <w:sz w:val="28"/>
        </w:rPr>
        <w:t>NASTAVNI PREDMET:  HRVATSKI JEZIK</w:t>
      </w:r>
    </w:p>
    <w:p>
      <w:pPr>
        <w:pStyle w:val="Box459587"/>
        <w:spacing w:before="280" w:after="280"/>
        <w:rPr>
          <w:rFonts w:ascii="Calibri" w:hAnsi="Calibri" w:cs="Calibri" w:asciiTheme="minorHAnsi" w:cstheme="minorHAnsi" w:hAnsiTheme="minorHAnsi"/>
          <w:b/>
          <w:b/>
          <w:i/>
          <w:i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b/>
          <w:i/>
          <w:sz w:val="28"/>
          <w:szCs w:val="28"/>
        </w:rPr>
        <w:t>Sastavnice vrednovanja u predmetu Hrvatski jezik su:</w:t>
      </w:r>
    </w:p>
    <w:p>
      <w:pPr>
        <w:pStyle w:val="Box459587"/>
        <w:numPr>
          <w:ilvl w:val="0"/>
          <w:numId w:val="1"/>
        </w:numPr>
        <w:spacing w:before="280" w:after="0"/>
        <w:rPr>
          <w:rFonts w:ascii="Calibri" w:hAnsi="Calibri" w:cs="Calibri" w:asciiTheme="minorHAnsi" w:cstheme="minorHAnsi" w:hAnsiTheme="minorHAnsi"/>
          <w:i/>
          <w:i/>
          <w:szCs w:val="28"/>
        </w:rPr>
      </w:pPr>
      <w:r>
        <w:rPr>
          <w:rFonts w:cs="Calibri" w:ascii="Calibri" w:hAnsi="Calibri" w:asciiTheme="minorHAnsi" w:cstheme="minorHAnsi" w:hAnsiTheme="minorHAnsi"/>
          <w:i/>
          <w:szCs w:val="28"/>
        </w:rPr>
        <w:t>hrvatski jezik i komunikacija</w:t>
      </w:r>
    </w:p>
    <w:p>
      <w:pPr>
        <w:pStyle w:val="Box459587"/>
        <w:numPr>
          <w:ilvl w:val="0"/>
          <w:numId w:val="1"/>
        </w:numPr>
        <w:spacing w:before="0" w:after="0"/>
        <w:rPr>
          <w:rFonts w:ascii="Calibri" w:hAnsi="Calibri" w:cs="Calibri" w:asciiTheme="minorHAnsi" w:cstheme="minorHAnsi" w:hAnsiTheme="minorHAnsi"/>
          <w:i/>
          <w:i/>
          <w:szCs w:val="28"/>
        </w:rPr>
      </w:pPr>
      <w:r>
        <w:rPr>
          <w:rFonts w:cs="Calibri" w:ascii="Calibri" w:hAnsi="Calibri" w:asciiTheme="minorHAnsi" w:cstheme="minorHAnsi" w:hAnsiTheme="minorHAnsi"/>
          <w:i/>
          <w:szCs w:val="28"/>
        </w:rPr>
        <w:t>književnost i stvaralaštvo</w:t>
      </w:r>
    </w:p>
    <w:p>
      <w:pPr>
        <w:pStyle w:val="Box459587"/>
        <w:numPr>
          <w:ilvl w:val="0"/>
          <w:numId w:val="1"/>
        </w:numPr>
        <w:spacing w:before="0" w:after="280"/>
        <w:rPr>
          <w:rFonts w:ascii="Calibri" w:hAnsi="Calibri" w:cs="Calibri" w:asciiTheme="minorHAnsi" w:cstheme="minorHAnsi" w:hAnsiTheme="minorHAnsi"/>
          <w:i/>
          <w:i/>
          <w:szCs w:val="28"/>
        </w:rPr>
      </w:pPr>
      <w:r>
        <w:rPr>
          <w:rFonts w:cs="Calibri" w:ascii="Calibri" w:hAnsi="Calibri" w:asciiTheme="minorHAnsi" w:cstheme="minorHAnsi" w:hAnsiTheme="minorHAnsi"/>
          <w:i/>
          <w:szCs w:val="28"/>
        </w:rPr>
        <w:t>kultura i mediji.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b/>
          <w:i/>
          <w:i/>
          <w:color w:val="232323"/>
          <w:sz w:val="28"/>
          <w:szCs w:val="28"/>
          <w:lang w:eastAsia="hr-HR"/>
        </w:rPr>
      </w:pPr>
      <w:r>
        <w:rPr>
          <w:rFonts w:eastAsia="Times New Roman" w:cs="Calibri" w:cstheme="minorHAnsi"/>
          <w:b/>
          <w:i/>
          <w:color w:val="232323"/>
          <w:sz w:val="28"/>
          <w:szCs w:val="28"/>
          <w:lang w:eastAsia="hr-HR"/>
        </w:rPr>
        <w:t>Sadržaj vrednovanja u nastavnom predmetu su: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razgovor, pitanja i odgovori (usmeni odgovori) </w:t>
      </w:r>
      <w:r>
        <w:rPr>
          <w:rFonts w:eastAsia="Times New Roman" w:cs="Calibri" w:cstheme="minorHAnsi"/>
          <w:i/>
          <w:color w:val="232323"/>
          <w:sz w:val="24"/>
          <w:szCs w:val="28"/>
          <w:lang w:eastAsia="hr-HR"/>
        </w:rPr>
        <w:t>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rješavanje zadataka pisane provjere znanja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rješavanje problemskih zadataka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tumačenje grafičkih organizatora znanja i/ili tablično/grafički prikazanih rezultata znanstvenih istraživanja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izvedba pokusa ili istraživanja prema pisanom protokolu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obrazloženje izvedenog pokusa ili istraživanja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izrada izvješća o provedenom istraživanju prema unaprijed utvrđenim kriterijima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izrada konceptualnih i/ili umnih mapa, križaljki, pitalica, rebusa, kvizova, stripova, infografika prema unaprijed utvrđenim kriterijima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pisanje sastavka na određenu temu prema unaprijed zadanim smjernicama i utvrđenim kriterijima 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izrada plakata, prezentacija, seminara prema unaprijed utvrđenim kriterijima. </w:t>
      </w:r>
    </w:p>
    <w:p>
      <w:pPr>
        <w:pStyle w:val="Paragraph"/>
        <w:spacing w:before="280" w:after="280"/>
        <w:textAlignment w:val="baseline"/>
        <w:rPr>
          <w:b/>
          <w:b/>
          <w:i/>
          <w:i/>
          <w:sz w:val="32"/>
        </w:rPr>
      </w:pPr>
      <w:r>
        <w:rPr>
          <w:rStyle w:val="Normaltextrun"/>
          <w:rFonts w:cs="Calibri" w:ascii="Calibri" w:hAnsi="Calibri"/>
          <w:b/>
          <w:i/>
          <w:sz w:val="28"/>
          <w:szCs w:val="22"/>
        </w:rPr>
        <w:t>Oblici  vrednovanja naučenog su: </w:t>
      </w:r>
      <w:r>
        <w:rPr>
          <w:rStyle w:val="Eop"/>
          <w:rFonts w:cs="Calibri" w:ascii="Calibri" w:hAnsi="Calibri"/>
          <w:b/>
          <w:i/>
          <w:sz w:val="28"/>
          <w:szCs w:val="22"/>
        </w:rPr>
        <w:t> </w:t>
      </w:r>
    </w:p>
    <w:p>
      <w:pPr>
        <w:pStyle w:val="Paragraph"/>
        <w:numPr>
          <w:ilvl w:val="0"/>
          <w:numId w:val="3"/>
        </w:numPr>
        <w:spacing w:before="280" w:after="0"/>
        <w:ind w:left="0" w:firstLine="284"/>
        <w:textAlignment w:val="baseline"/>
        <w:rPr>
          <w:rFonts w:ascii="Calibri" w:hAnsi="Calibri" w:cs="Calibri"/>
          <w:i/>
          <w:i/>
          <w:szCs w:val="22"/>
        </w:rPr>
      </w:pPr>
      <w:r>
        <w:rPr>
          <w:rStyle w:val="Normaltextrun"/>
          <w:rFonts w:cs="Calibri" w:ascii="Calibri" w:hAnsi="Calibri"/>
          <w:i/>
          <w:szCs w:val="22"/>
        </w:rPr>
        <w:t>usmene provjere, pisane provjere zadatcima zatvorenoga i /ili otvorenog tipa; </w:t>
      </w:r>
      <w:r>
        <w:rPr>
          <w:rStyle w:val="Eop"/>
          <w:rFonts w:cs="Calibri" w:ascii="Calibri" w:hAnsi="Calibri"/>
          <w:i/>
          <w:szCs w:val="22"/>
        </w:rPr>
        <w:t> </w:t>
      </w:r>
    </w:p>
    <w:p>
      <w:pPr>
        <w:pStyle w:val="Paragraph"/>
        <w:numPr>
          <w:ilvl w:val="0"/>
          <w:numId w:val="3"/>
        </w:numPr>
        <w:spacing w:before="0" w:after="0"/>
        <w:ind w:left="0" w:firstLine="284"/>
        <w:textAlignment w:val="baseline"/>
        <w:rPr>
          <w:rFonts w:ascii="Calibri" w:hAnsi="Calibri" w:cs="Calibri"/>
          <w:i/>
          <w:i/>
          <w:szCs w:val="22"/>
        </w:rPr>
      </w:pPr>
      <w:r>
        <w:rPr>
          <w:rStyle w:val="Normaltextrun"/>
          <w:rFonts w:cs="Calibri" w:ascii="Calibri" w:hAnsi="Calibri"/>
          <w:i/>
          <w:szCs w:val="22"/>
        </w:rPr>
        <w:t>predstavljanja ili izvedbe: govorni i razgovorni oblici, </w:t>
      </w:r>
      <w:r>
        <w:rPr>
          <w:rStyle w:val="Eop"/>
          <w:rFonts w:cs="Calibri" w:ascii="Calibri" w:hAnsi="Calibri"/>
          <w:i/>
          <w:szCs w:val="22"/>
        </w:rPr>
        <w:t> </w:t>
      </w:r>
    </w:p>
    <w:p>
      <w:pPr>
        <w:pStyle w:val="Paragraph"/>
        <w:numPr>
          <w:ilvl w:val="0"/>
          <w:numId w:val="3"/>
        </w:numPr>
        <w:spacing w:before="0" w:after="280"/>
        <w:ind w:left="0" w:firstLine="284"/>
        <w:textAlignment w:val="baseline"/>
        <w:rPr>
          <w:rStyle w:val="Eop"/>
          <w:rFonts w:ascii="Calibri" w:hAnsi="Calibri" w:cs="Calibri"/>
          <w:i/>
          <w:i/>
          <w:szCs w:val="22"/>
        </w:rPr>
      </w:pPr>
      <w:r>
        <w:rPr>
          <w:rStyle w:val="Normaltextrun"/>
          <w:rFonts w:cs="Calibri" w:ascii="Calibri" w:hAnsi="Calibri"/>
          <w:i/>
          <w:szCs w:val="22"/>
        </w:rPr>
        <w:t>praktični radovi, projekti; učeničke mape i sl. </w:t>
      </w:r>
      <w:r>
        <w:rPr>
          <w:rStyle w:val="Eop"/>
          <w:rFonts w:cs="Calibri" w:ascii="Calibri" w:hAnsi="Calibri"/>
          <w:i/>
          <w:szCs w:val="22"/>
        </w:rPr>
        <w:t> </w:t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</w:rPr>
      </w:pPr>
      <w:r>
        <w:rPr>
          <w:rFonts w:cs="Calibri" w:cstheme="minorHAnsi" w:ascii="Calibri" w:hAnsi="Calibri"/>
          <w:b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Style w:val="Eop"/>
          <w:rFonts w:cs="Calibri" w:ascii="Calibri" w:hAnsi="Calibri" w:asciiTheme="minorHAnsi" w:cstheme="minorHAnsi" w:hAnsiTheme="minorHAnsi"/>
          <w:b/>
          <w:sz w:val="28"/>
        </w:rPr>
        <w:t>Tekst u kurzivu je u cijelosti preuzet iz Kurikuluma za Hrvatski jezik.</w:t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tbl>
      <w:tblPr>
        <w:tblStyle w:val="TableGrid1"/>
        <w:tblpPr w:bottomFromText="0" w:horzAnchor="text" w:leftFromText="180" w:rightFromText="180" w:tblpX="-998" w:tblpY="1" w:topFromText="0" w:vertAnchor="text"/>
        <w:tblW w:w="1587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1" w:lastColumn="0" w:noHBand="0" w:val="0480"/>
      </w:tblPr>
      <w:tblGrid>
        <w:gridCol w:w="2349"/>
        <w:gridCol w:w="2368"/>
        <w:gridCol w:w="1514"/>
        <w:gridCol w:w="1494"/>
        <w:gridCol w:w="2810"/>
        <w:gridCol w:w="2642"/>
        <w:gridCol w:w="2699"/>
      </w:tblGrid>
      <w:tr>
        <w:trPr/>
        <w:tc>
          <w:tcPr>
            <w:tcW w:w="15876" w:type="dxa"/>
            <w:gridSpan w:val="7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</w:rPr>
            </w:pPr>
            <w:r>
              <w:rPr>
                <w:rFonts w:eastAsia="Calibri" w:cs="Calibri" w:cstheme="minorHAnsi"/>
                <w:color w:val="C00000"/>
                <w:kern w:val="0"/>
                <w:sz w:val="28"/>
                <w:szCs w:val="22"/>
                <w:lang w:val="hr-HR" w:eastAsia="en-US" w:bidi="ar-SA"/>
              </w:rPr>
              <w:t xml:space="preserve">SASTAVNICA/ELEMENT VREDNOVANJA: </w:t>
            </w: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HRVATSKI JEZIK I KOMUNIKACIJA</w:t>
            </w:r>
          </w:p>
        </w:tc>
      </w:tr>
      <w:tr>
        <w:trPr/>
        <w:tc>
          <w:tcPr>
            <w:tcW w:w="15876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8"/>
                <w:szCs w:val="24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HJ A.4.1. Učenik razgovara i govori u skladu s komunikacijskom situacijom.</w:t>
            </w:r>
          </w:p>
        </w:tc>
      </w:tr>
      <w:tr>
        <w:trPr/>
        <w:tc>
          <w:tcPr>
            <w:tcW w:w="2349" w:type="dxa"/>
            <w:tcBorders>
              <w:top w:val="nil"/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Razgovara i govori prema zadanoj ili slobodnoj temi.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razgovara i govori prema zadanoj ili slobodnoj temi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Razgovara i govori prema zadanoj temi koristeći jednostavne rečenice i prilično siromašan rječnik, često tražeći pomoć ili razgovara odgovaranjem na pitanja.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Razgovara i govori prema zadanoj temi koristeći prosječan rječnik, rjeđe uvodeći nove riječi. Pri razgovoru o slobodnoj temi se češće ne osjeća sigurno te traži pomoć i povratnu informaciju.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Razgovara i govori prema zadanoj ili slobodnoj temi koristeći širi raspon vokabulara uz manje greške.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Razgovara i govori prema zadanoj ili slobodnoj temi slobodno, pravilno, jezično i književno, rabi nepoznate riječi (to jest nepoznate riječi uvrštava u svoj rječnik čime one postaju poznate). Rečenice su skladno oblikovane proširene i živopisne.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Sadržajem i strukturom govorenja cjelovito obuhvaća temu.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sadržajem i strukturom govorenja cjelovito obuhvaća temu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Sadržajem i strukturom govorenja isključivo uz pomoć obuhvaća temu, ali ne potpuno. Potreban stalan poticaj i podsjećanje na temu i strukturu.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Sadržajem i strukturom govorenja djelomično obuhvaća temu.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Sadržajem i strukturom govorenja cjelovito obuhvaća temu, čineći manje greške.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Sadržajem i strukturom govorenja cjelovito  obuhvaća temu, ne pravi stanke, izlaže jasno, koncizno i temeljito.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Organizira govor prema jednostavnoj strukturi: uvod, središnji dio, završetak.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organizira govor prema jednostavnoj strukturi: uvod, središnji dio, završetak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Teže i često čineći greške djelomično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reproducira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 govor prema jednostavnoj strukturi: uvod, središnji dio, završetak. Ne povezuje niti slijedi zadanu jednostavnu strukturu.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Reproducira  govor prema jednostavnoj strukturi: uvod, središnji dio, završetak uz zadani i naučeni predložak.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Većinom samostalno organizira govor prema jednostavnoj strukturi: uvod, središnji dio, završetak.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i samostalno organizira govor prema jednostavnoj strukturi: uvod, središnji dio, završetak.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Stvaralačkim postupcima oblikuje govorene tekstove.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stvaralačkim postupcima oblikuje govorene tekstove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  <w:lang w:val="hr-BA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BA" w:eastAsia="en-US" w:bidi="ar-SA"/>
              </w:rPr>
              <w:t>Prema unaprijed određenom predlošku, uz greške i stalan poticaj, djelomično oblikuje govoreni tekst većinom stvaralačkim postupkom opisivanja (često navodi pri opisivanju upravni govor iz teksta, što ukazuje na memoriziranje govorenog teksta isključivo djelomičnim krasnoslovom).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Povremenim opisivanjem oblikuje govorene tekstove.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Većinom uspješno i uz manja navođenja oblikuje govorene tekstove opisivanje, povremeno koristeći dijalog i monolog, kao i povremeno oblikovanje  teksta kao pripovjedaču 1. ili 3. osobi.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oblikuje govorene tekstove koristeći stvaralačke postupke: opisivanje, dijalog, monolog, kao i oblikovanje teksta kao pripovjedaču 1. ili 3. osobi.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Sudjeluje u organiziranoj ili spontanoj raspravi.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sudjeluje u organiziranoj ili spontanoj raspravi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Sudjeluje u organiziranoj ili spontanoj raspravi većinom kao 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jasne upute  sudjeluje u organiziranoj ili spontanoj raspravi.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Sudjeluje u organiziranoj ili spontanoj raspravi.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Samouvjereno sudjeluje u organiziranoj ili spontanoj raspravi, jasno izlaže i obrazlaže svoje stavove te ih potkrjepljuje primjerima.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Poštuje pravila komunikacije u raspravi: sluša sugovornike, govori kad ima riječ.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poštuje pravila komunikacije u raspravi: sluša sugovornike, govori kad ima riječ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Uz poticaj poštuje pravila komunikacije u raspravi, ali ih se često i ne pridržava. Potrebno je stalno održavati pažnju i koncentraciju, pažnja često nije usmjerena na sugovornike. Govori i kada nije dobio/la riječ. Na poticaj i ponovljene upute većinom pozitivno reagira.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podsjećanje na pravila i upute  poštuje pravila komunikacije u raspravi: sluša sugovornike, ali često govori i kad nema riječ.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Poštuje pravila komunikacije u raspravi: sluša sugovornike, govori kad ima riječ., ponekad odstupi od pravila, ali se brzo ispravi. 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potpunosti  poštuje pravila komunikacije u raspravi: sluša sugovornike, govori kad ima riječ.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važnost neverbalne komunikacije.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važnost neverbalne komunikacije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Slabije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repoznaje važnost neverbalne komunikacije.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važnost neverbalne komunikacije.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primjenjuje važnost neverbalne komunikacije.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Prepoznaje, primjenjuje i potiče ostale učenike na neverbalnu komunikaciju i važnost iste.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nove riječi u komunikacijskoj situaciji.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primjenjuje nove riječi u komunikacijskoj situaciji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Isključivo uz poticaj i navođenje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rimjenjuje nove riječi u komunikacijskoj situaciji.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Uz čestu reprodukciju povremeno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rimjenjuje nove riječi u komunikacijskoj situaciji.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Većinom  primjenjuje nove riječi u komunikacijskoj situaciji.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Često i slobodno  primjenjuje nove riječi u komunikacijskoj situaciji.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ListParagraph"/>
              <w:widowControl/>
              <w:spacing w:lineRule="auto" w:line="240" w:before="0" w:after="0"/>
              <w:ind w:left="37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Poštuje društveno prihvatljiva pravila uljudne komunikacije u različitim životnim situacijama.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poštuje društveno prihvatljiva pravila uljudne komunikacije u različitim životnim situacijama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Prema primjeru prepoznaje društveno prihvatljiva pravila uljudne komunikacije u različitim životnim situacijama.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Prepoznaje i djelomično poštuje društveno prihvatljiva pravila uljudne komunikacije u različitim životnim situacijama.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Poštuje i uglavnom primjenjuje društveno prihvatljiva pravila uljudne komunikacije u različitim životnim situacijama.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55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Poštuje i primjenjuje društveno prihvatljiva pravila uljudne komunikacije u različitim životnim situacijama.</w:t>
            </w:r>
          </w:p>
        </w:tc>
      </w:tr>
      <w:tr>
        <w:trPr/>
        <w:tc>
          <w:tcPr>
            <w:tcW w:w="15876" w:type="dxa"/>
            <w:gridSpan w:val="7"/>
            <w:tcBorders>
              <w:top w:val="single" w:sz="18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8"/>
                <w:lang w:val="hr-HR" w:eastAsia="hr-HR" w:bidi="ar-SA"/>
              </w:rPr>
              <w:t xml:space="preserve">ISHOD: 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OŠ HJ A.4.2. Učenik sluša različite tekstove, izdvaja važne podatke i prepričava sadržaj poslušanoga teksta.</w:t>
            </w:r>
          </w:p>
        </w:tc>
      </w:tr>
      <w:tr>
        <w:trPr/>
        <w:tc>
          <w:tcPr>
            <w:tcW w:w="2349" w:type="dxa"/>
            <w:tcBorders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Izdvaja važne podatke iz poslušanoga teksta prema uputi.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izdvaja važne podatke iz poslušanoga teksta prema uputi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Djelomično i uz stalu pomoć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i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zdvaja neke važne podatke iz poslušanoga teksta prema uputi.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Većinom uz dodatna pojašnjenja  izdvaja važne podatke iz poslušanoga teksta prema uputi.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Izdvaja važne podatke iz poslušanoga teksta prema uputi.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Izdvaja važne podatke iz poslušanoga teksta prema uputi brzo, jasno i točno.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Oblikuje bilješke na temelju izdvojenih podataka.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oblikuje bilješke na temelju izdvojenih podataka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Rijetko samostalno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o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blikuje bilješke na temelju izdvojenih podataka, uz predložak djelomično uspije izvršiti zadatak.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pomoć  oblikuje bilješke na temelju izdvojenih podataka.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Oblikuje bilješke na temelju izdvojenih podataka uz poneku uputu.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i bez dopune  oblikuje bilješke na temelju izdvojenih podataka.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Prepričava poslušani tekst na temelju bilježaka.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prepričava poslušani tekst na temelju bilježaka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Metodom pokušaja i pogrešaka ili uz predložak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repričava poslušani tekst na temelju bilježaka uz dosta grešaka.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Djelomično i uz greške i ispravljanja  prepričava poslušani tekst na temelju bilježaka.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Uspješno, uz manje, nezamjetne greške,  prepričava poslušani tekst na temelju bilježaka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Uspješno, točno i bez greške  prepričava poslušani tekst na temelju bilježaka</w:t>
            </w:r>
          </w:p>
        </w:tc>
      </w:tr>
      <w:tr>
        <w:trPr/>
        <w:tc>
          <w:tcPr>
            <w:tcW w:w="2349" w:type="dxa"/>
            <w:tcBorders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nepoznate riječi služeći se dječjim rječnicima.</w:t>
            </w:r>
          </w:p>
        </w:tc>
        <w:tc>
          <w:tcPr>
            <w:tcW w:w="2368" w:type="dxa"/>
            <w:tcBorders>
              <w:left w:val="doub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nepoznate riječi služeći se dječjim rječnicima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Većinom ne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o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bjašnjava nepoznate riječi služeći se dječjim rječnicima., uz doslovno ukazivanje na rječnik i jasne u detaljne upute uspije objasniti poneku riječ.</w:t>
            </w:r>
          </w:p>
        </w:tc>
        <w:tc>
          <w:tcPr>
            <w:tcW w:w="2810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Povremeno  objašnjava kraće nepoznate riječi služeći se dječjim rječnicima.</w:t>
            </w:r>
          </w:p>
        </w:tc>
        <w:tc>
          <w:tcPr>
            <w:tcW w:w="2642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Relativno uspješno  objašnjava nepoznate riječi služeći se dječjim rječnicima.</w:t>
            </w:r>
          </w:p>
        </w:tc>
        <w:tc>
          <w:tcPr>
            <w:tcW w:w="2699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Sasvim uspješno i dajući primjer  objašnjava nepoznate riječi služeći se dječjim rječnicima.</w:t>
            </w:r>
          </w:p>
        </w:tc>
      </w:tr>
      <w:tr>
        <w:trPr/>
        <w:tc>
          <w:tcPr>
            <w:tcW w:w="15876" w:type="dxa"/>
            <w:gridSpan w:val="7"/>
            <w:tcBorders>
              <w:top w:val="sing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4"/>
                <w:lang w:val="hr-HR" w:eastAsia="hr-HR" w:bidi="ar-SA"/>
              </w:rPr>
              <w:t xml:space="preserve">ISHOD: 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OŠ HJ A.4.3. Učenik čita tekst i prepričava sadržaj teksta služeći se bilješkama.</w:t>
            </w:r>
          </w:p>
        </w:tc>
      </w:tr>
      <w:tr>
        <w:trPr/>
        <w:tc>
          <w:tcPr>
            <w:tcW w:w="2349" w:type="dxa"/>
            <w:tcBorders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grafičku strukturu teksta i sadržaj.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povezuje grafičku strukturu teksta i sadržaj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Prepoznaje grafičku strukturu teksta i sadržaj.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Povezuje grafičku strukturu teksta i sadržaj uz određene upute i pomoć (određuje naslov i dijelove ukoliko su vidno razdvojeni, ali teže uočava pasuse to jest odlomke). 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grafičku strukturu teksta i sadržaj većinom samostalno i uspješno.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grafičku strukturu teksta i sadržaj samostalno i uspješno, snalazi se u odlomcima, redovima, pronalazi tražene podatke i slično.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37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Izdvaja važne podatke iz teksta i piše bilješke s obzirom na sadržaj i strukturu.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izdvaja važne podatke iz teksta i piše bilješke s obzirom na sadržaj i strukturu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Isključivo uz pomoć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i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zdvaja važne podatke iz teksta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Većinom uz pomoć izdvaja važne podatke iz teksta, ali samostalno teže piše bilješke s obzirom na sadržaj i strukturu.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Izdvaja važne podatke iz teksta i piše bilješke s obzirom na sadržaj i strukturu uz poneku uputu od strane učitelja.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Uspješno i točno izdvaja važne podatke iz teksta i piše bilješke s obzirom na sadržaj i strukturu.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Prepričava tekst na temelju bilježaka.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prepričava tekst na temelju bilježaka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Uz stalno navođenje, podsjećanje i općenitu pomoć, kratkim, prilično nepovezanim i agramatičnim rečenicama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djelomično p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repričava tekst na temelju bilježaka.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Uz dosta podsjećanja u bilješkama djelomično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repričava tekst na temelju bilježaka. Rečenice su šture, kratke i nedostatne s informacijama.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Samostalno, točno, uz poneku grešku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repričava tekst na temelju bilježaka.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Pravilno, jasno, s proširenim i živopisnim rečenicama te s iznošenjem vlastitog mišljenja na kraju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repričava tekst na temelju bilježaka.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podatke u grafičkim prikazima.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podatke u grafičkim prikazima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Uz gotov predložak i nakon primjera nekoliko suučenika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o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bjašnjava podatke u grafičkim prikazima.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Povremeno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o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bjašnjava podatke u grafičkim prikazima, ukoliko grafički prikaz sadrži dvije karakteristike, jasno prikazane.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Objašnjava podatke u grafičkim prikazima.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Objašnjava i uspoređuje  podatke u grafičkim prikazima.</w:t>
            </w:r>
          </w:p>
        </w:tc>
      </w:tr>
      <w:tr>
        <w:trPr/>
        <w:tc>
          <w:tcPr>
            <w:tcW w:w="2349" w:type="dxa"/>
            <w:tcBorders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nepoznate riječi: na temelju vođenoga razgovora, zaključivanja na temelju konteksta, s pomoću rječnika nakon čitanja teksta.</w:t>
            </w:r>
          </w:p>
        </w:tc>
        <w:tc>
          <w:tcPr>
            <w:tcW w:w="2368" w:type="dxa"/>
            <w:tcBorders>
              <w:left w:val="doub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nepoznate riječi: na temelju vođenoga razgovora, zaključivanja na temelju konteksta, s pomoću rječnika nakon čitanja teksta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Teže objašnjava nepoznate riječi, isključivo uz jasne upute (rječnik na kraju udžbenika, stranica). </w:t>
            </w:r>
          </w:p>
        </w:tc>
        <w:tc>
          <w:tcPr>
            <w:tcW w:w="2810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Djelomično objašnjava nepoznate riječi, samostalno većinom s pomoću rječnika nakon čitanja teksta, ali kroz vođeni razgovor sluša primjere te pokušava samostalno zaključiti. Bogaćenjem svakodnevnog rječnika i ova će vještina se sustavno razvijati.</w:t>
            </w:r>
          </w:p>
        </w:tc>
        <w:tc>
          <w:tcPr>
            <w:tcW w:w="2642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Uspješno, ponekad uz manja odstupanja  objašnjava nepoznate riječi: na temelju vođenoga razgovora, zaključivanja na temelju konteksta, s pomoću rječnika nakon čitanja teksta.</w:t>
            </w:r>
          </w:p>
        </w:tc>
        <w:tc>
          <w:tcPr>
            <w:tcW w:w="2699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te povezuje značenje nepoznatih riječi: na temelju vođenoga razgovora, zaključivanja na temelju konteksta, s pomoću rječnika nakon čitanja teksta.</w:t>
            </w:r>
          </w:p>
        </w:tc>
      </w:tr>
      <w:tr>
        <w:trPr/>
        <w:tc>
          <w:tcPr>
            <w:tcW w:w="15876" w:type="dxa"/>
            <w:gridSpan w:val="7"/>
            <w:tcBorders>
              <w:top w:val="single" w:sz="12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8"/>
                <w:lang w:val="hr-HR" w:eastAsia="hr-HR" w:bidi="ar-SA"/>
              </w:rPr>
              <w:t xml:space="preserve">ISHOD: 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OŠ HJ A.4.4. Učenik piše tekstove prema jednostavnoj strukturi.</w:t>
            </w:r>
          </w:p>
        </w:tc>
      </w:tr>
      <w:tr>
        <w:trPr/>
        <w:tc>
          <w:tcPr>
            <w:tcW w:w="2349" w:type="dxa"/>
            <w:tcBorders>
              <w:top w:val="nil"/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349" w:type="dxa"/>
            <w:tcBorders>
              <w:top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Piše tekstove poštujući strukturu: uvod, razrada i zaključak.</w:t>
            </w:r>
          </w:p>
        </w:tc>
        <w:tc>
          <w:tcPr>
            <w:tcW w:w="2368" w:type="dxa"/>
            <w:tcBorders>
              <w:top w:val="single" w:sz="6" w:space="0" w:color="000000"/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piše tekstove poštujući strukturu: uvod, razrada i zaključak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Uz unaprijed dogovorene male korake te zornim predočavanjem strukture na konkretnom primjeru, i uz praćenje svakog koraka (uvod, razrada, zaključak) piše kraći tekst, navedenom strukturom siromašnim vokabularom i manjim brojem rečenica</w:t>
            </w:r>
          </w:p>
        </w:tc>
        <w:tc>
          <w:tcPr>
            <w:tcW w:w="28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Piše tekstove poštujući strukturu: uvod, razrada i zaključak. Strukturira pisanog teksta je većinom vidljiva, ali sadržajno nije na razini na kojoj bi trebalo biti (pravopisno i sadržajno).</w:t>
            </w:r>
          </w:p>
        </w:tc>
        <w:tc>
          <w:tcPr>
            <w:tcW w:w="2642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Piše tekstove poštujući strukturu: uvod, razrada i zaključak, ali ponekad traži pomoć ili pojašnjenje za razradu ili zaključak (teže razgraničava prijelaz s razrade na zaključak).</w:t>
            </w:r>
          </w:p>
        </w:tc>
        <w:tc>
          <w:tcPr>
            <w:tcW w:w="269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Pravilno i bez pomoći piše tekstove poštujući strukturu: uvod, razrada i zaključak.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Piše prema predlošcima za ovladavanje gramatičkom i stilističkom normom potrebnom za strukturiranje teksta.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piše prema predlošcima za ovladavanje gramatičkom i stilističkom normom potrebnom za strukturiranje teksta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Isključivo prema gotovom predlošku slične teme piše kraći pismeni tekst kojim djelomično uvježbava ovladavanje gramatičke i stilističke norme potrebne za strukturiranje teksta.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Piše prema zadanom predlošku i uz jasne upute i ispravljanja gramatičke norme tijekom pisanja.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manja odstupanja  piše prema predlošcima za ovladavanje gramatičkom i stilističkom normom potrebnom za strukturiranje teksta.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 lakoćom i primjenom do sada usvojenih sadržaja s područja gramatičke i stilske norme (struktura teksta i pravopis)  piše prema predlošcima za ovladavanje gramatičkom i stilističkom normom potrebnom za strukturiranje teksta.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Piše ogledne i česte pridjeve (opisne, gradivne i posvojne pridjeve na -čki, -ćki, -ski, -ški).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piše ogledne i česte pridjeve (opisne, gradivne i posvojne pridjeve na -čki, -ćki, -ski, -ški)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Piše manji broj opisnih i posvojnih pridjeva, s tim da posvojne većinom piše nepravilno ukoliko ih sam/a izvodi. 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Uz navođenje piše ogledne i česte pridjeve, bliske i poznate (više puta ponovljene), najčešće opisne i posvojne, nešto rjeđe gradivne. Dosta griješi u posvojnim pridjevima na -čki, -ćki, -ski, -ški.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Piše pridjeve (opisne, gradivne i posvojne pridjeve na -čki, -ćki, -ski, -ški), ponekad je potrebno ponoviti pravilo u pisanju posvojnih pridjeva na -čki, -ćki, -ški, -ski, kao i pridjeva izvedenih od vlastitih imena.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 i pravilno  piše pridjeve (opisne, gradivne i posvojne pridjeve na -čki, -ćki, -ski, -ški).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Točno piše posvojne pridjeve izvedene od vlastitih imena. 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točno piše posvojne pridjeve izvedene od vlastitih imena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Djelomično točno piše neke posvojne pridjeve izvedene od vlastitih imena (ukoliko su imena učeniku poznata).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Povremeno griješi, ali pomoću primjera samostalno ispravi te točno napiše posvojne pridjeve izvedene od vlastitih imena. Lakše vlada pisanjem pridjeva na -ov, -ev, -in, nego na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čki, -ćki, -ški, -ski.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Većinom točno i pravilno   piše posvojne pridjeve izvedene od vlastitih imena.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Bez pomoći i greške točno  piše posvojne pridjeve izvedene od vlastitih imena.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Piše veliko početno slovo: imena naroda, stanovnika, država, geografskih cjelina, knjiga, filmova, novina.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piše veliko početno slovo: imena naroda, stanovnika, država, geografskih cjelina, knjiga, filmova, novina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Metodom pokušaja i pogrešaka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piše 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veliko početno slovo u imenima naroda, stanovnika i država, ali pokazuje nerazumijevanje pravila pri pisanju gore navedenih imena te ista pravila i ne primjenjuje.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Djelomično točno piše veliko početno slovo u imenima naroda, stanovnika i nekih država, primjenjujući načelo poznatoga.  Geografske cjeline, imena knjiga, filmova i novina piše uz dosta grešaka.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neke manje greške koje samostalno ispravlja ukoliko mu se na njih ukaže piše  veliko početno slovo u imenima naroda, stanovnika, država, geografskih cjelina, knjiga, filmova, novina.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potpunosti točno piše  veliko početno slovo u imenima naroda, stanovnika, država, geografskih cjelina, knjiga, filmova, novina.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Provjerava pravopisnu točnost i slovopisnu čitkost.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provjerava pravopisnu točnost i slovopisnu čitkost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 xml:space="preserve">Rijetko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rovjerava pravopisnu točnost i slovopisnu čitkost.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Povremeno i uz poticaj  provjerava pravopisnu točnost i slovopisnu čitkost, ali se samostalno ne ispravlja, niti uviđa greške. 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Veći dio grešaka samostalno ispravi te  provjerava pravopisnu točnost i slovopisnu čitkost.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i samoinicijativno provjerava i ispravlja  pravopisnu točnost i slovopisnu čitkost.</w:t>
            </w:r>
          </w:p>
        </w:tc>
      </w:tr>
      <w:tr>
        <w:trPr/>
        <w:tc>
          <w:tcPr>
            <w:tcW w:w="15876" w:type="dxa"/>
            <w:gridSpan w:val="7"/>
            <w:tcBorders>
              <w:top w:val="single" w:sz="12" w:space="0" w:color="000000"/>
              <w:bottom w:val="sing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4"/>
                <w:lang w:val="hr-HR" w:eastAsia="hr-HR" w:bidi="ar-SA"/>
              </w:rPr>
              <w:t>ISHOD: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 OŠ HJ A.4.5. Učenik oblikuje tekst primjenjujući znanja o imenicama, glagolima i pridjevima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uvažavajući gramatička i pravopisna pravila.</w:t>
            </w:r>
          </w:p>
        </w:tc>
      </w:tr>
      <w:tr>
        <w:trPr/>
        <w:tc>
          <w:tcPr>
            <w:tcW w:w="2349" w:type="dxa"/>
            <w:tcBorders>
              <w:top w:val="single" w:sz="12" w:space="0" w:color="000000"/>
              <w:bottom w:val="single" w:sz="12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349" w:type="dxa"/>
            <w:tcBorders>
              <w:top w:val="single" w:sz="12" w:space="0" w:color="000000"/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Razumije gramatičku kategoriju vrste riječi (imenice, glagoli, pridjevi).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razumije gramatičku kategoriju vrste riječi (imenice, glagoli, pridjevi)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Prepoznaje neku od gramatičkih kategorija vrsta riječi, ali ih ne sistematizira niti raščlanjuje samostalno, tek uz nadopunu i potpitanja.</w:t>
            </w:r>
          </w:p>
        </w:tc>
        <w:tc>
          <w:tcPr>
            <w:tcW w:w="2810" w:type="dxa"/>
            <w:tcBorders>
              <w:top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Uglavnom razumije gramatičku kategoriju vrste riječi (imenice, glagoli, pridjevi), ali u raščlanjivanju često griješi. Na poticaj i uz ponavljanje pravila o vrstama riječi pokazuje više razumijevanja. Uz sustavnu vježbu razina znanja će se razviti.</w:t>
            </w:r>
          </w:p>
        </w:tc>
        <w:tc>
          <w:tcPr>
            <w:tcW w:w="2642" w:type="dxa"/>
            <w:tcBorders>
              <w:top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Razumije gramatičku kategoriju vrste riječi (imenice, glagoli, pridjevi) te razumijevanje primjenjuje u zadatcima. Ponekad miješa neku od vrsta (imenice i pridjeve izvedene od vlastitih imena), ali  samostalno uviđa i ispravlja grešku. </w:t>
            </w:r>
          </w:p>
        </w:tc>
        <w:tc>
          <w:tcPr>
            <w:tcW w:w="2699" w:type="dxa"/>
            <w:tcBorders>
              <w:top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Obrazlaže gramatičku kategoriju vrste riječi (imenice, glagoli, pridjevi), razvrstava riječi iz teksta prema vrsti samostalno, brzo i točno.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Pravilno upotrebljava broj i rod imenica i pridjeva koji se s njom slažu na oglednim primjerima.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pravilno upotrebljava broj i rod imenica i pridjeva koji se s njom slažu na oglednim primjerima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 xml:space="preserve">Rijetko pravilno upotrebljava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broj i rod imenica i pridjeva koji se s njom slažu na oglednim primjerima jer nisu usvojena osnovna znanja o imenicama i pridjevima te je nadogradnja onemogućena.</w:t>
            </w:r>
          </w:p>
        </w:tc>
        <w:tc>
          <w:tcPr>
            <w:tcW w:w="281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Uz  greške i navođenje, nakon čega se samostalno povremeno i  ispravi te pravilno upotrijebi broj i rod imenice i pridjeva koji se slaže s imenicama na oglednim i često uvježbanim primjerima.</w:t>
            </w:r>
          </w:p>
        </w:tc>
        <w:tc>
          <w:tcPr>
            <w:tcW w:w="26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Pravilno upotrebljava broj i rod imenica i pridjeva koji se s njom slažu na oglednim primjerima. Na novim primjerima ponekad griješi.</w:t>
            </w:r>
          </w:p>
        </w:tc>
        <w:tc>
          <w:tcPr>
            <w:tcW w:w="269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Pravilno upotrebljava broj i rod imenica i pridjeva koji se s njom slažu na oglednim primjerima, ali i na ostalim primjerima bez greške i potrebe za pomoći.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 oblikuje prošlo, sadašnje i buduće vrijeme.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točno oblikuje prošlo, sadašnje i buduće vrijeme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Metodom pokušaja i pogrešaka oblikuje prošlo, buduće i sadašnje vrijeme, ali većinom griješi jer ne pokazuje razumijevanje za navedene sadržaje.</w:t>
            </w:r>
          </w:p>
        </w:tc>
        <w:tc>
          <w:tcPr>
            <w:tcW w:w="281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Uz upute i primjere oblikuje sadašnje vrijeme, ali uz konkretan primjer tek oblikuje prošlo i buduće. Često izostavlja pomoćni glagol ili ne oblikuje pravilno glagol u govornom i pisanom obliku, ''radijo'', slomiće'' i slično.</w:t>
            </w:r>
          </w:p>
        </w:tc>
        <w:tc>
          <w:tcPr>
            <w:tcW w:w="26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Točno oblikuje prošlo, sadašnje i buduće vrijeme, čineći manje greške u upotrebi pomoćnog glagola u prošlom i budućem vremenu.</w:t>
            </w:r>
          </w:p>
        </w:tc>
        <w:tc>
          <w:tcPr>
            <w:tcW w:w="269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Točno, brzo i pravilno oblikuje prošlo, sadašnje i buduće vrijeme.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 oblikuje posvojne pridjeve.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točno oblikuje posvojne pridjeve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Isključivo uz pomoć i poticaj, jasne i kratke upute, djelomično točno oblikuje posvojne pridjeve.</w:t>
            </w:r>
          </w:p>
        </w:tc>
        <w:tc>
          <w:tcPr>
            <w:tcW w:w="281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Djelomično točno oblikuje posvojne pridjeve.</w:t>
            </w:r>
          </w:p>
        </w:tc>
        <w:tc>
          <w:tcPr>
            <w:tcW w:w="26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Većinom uspješno i točno oblikuje posvojne pridjeve.</w:t>
            </w:r>
          </w:p>
        </w:tc>
        <w:tc>
          <w:tcPr>
            <w:tcW w:w="269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Točno i samostalno oblikuje posvojne pridjeve.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Oblikuje rečenice u kojima se poštuju pravila sročnosti.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oblikuje rečenice u kojima se poštuju pravila sročnosti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Pravila sročnosti teže shvaća pa ih slabo i primjenjuje u oblikovanju rečenica.</w:t>
            </w:r>
          </w:p>
        </w:tc>
        <w:tc>
          <w:tcPr>
            <w:tcW w:w="281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Uz dosta ispravaka povremeno oblikuje rečenice u kojima se relativno poštuju pravila sročnosti.</w:t>
            </w:r>
          </w:p>
        </w:tc>
        <w:tc>
          <w:tcPr>
            <w:tcW w:w="26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Oblikuje rečenice u kojima se poštuju pravila sročnosti uz poneke greške.</w:t>
            </w:r>
          </w:p>
        </w:tc>
        <w:tc>
          <w:tcPr>
            <w:tcW w:w="269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Pravilno i točno oblikuje rečenice u kojima pokazuje shvaćanje sročnosti i primjenu istoga.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Funkcionalno upotrebljava riječi, sintagme i rečenice u skladu s dinamikom učenja s obzirom na jezični razvoj.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funkcionalno upotrebljava riječi, sintagme i rečenice u skladu s dinamikom učenja s obzirom na jezični razvoj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Vokabular je nedovoljno obogaćen i razvijen, stoga je upotreba riječi nedovoljno funkcionalna, te se ne razvoja u skladu s dinamikom učenja s obzirom na jezičn razvoj. (Pisani izričaj je često nepovezan, slijed misli također te učenik slabije može samostalno sastavljati tekstove: pisati ih ili govoriti u skladu s pravopisnim/pravogovornim i ostalim gramatičkim pravilima)</w:t>
            </w:r>
          </w:p>
        </w:tc>
        <w:tc>
          <w:tcPr>
            <w:tcW w:w="281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Povremeno i na razini reprodukcije učenik  funkcionalno upotrebljava riječi, sintagme i rečenice u skladu s dinamikom učenja s obzirom na jezični razvoj.</w:t>
            </w:r>
          </w:p>
        </w:tc>
        <w:tc>
          <w:tcPr>
            <w:tcW w:w="26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f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unkcionalno upotrebljava riječi, sintagme i rečenice u skladu s dinamikom učenja s obzirom na jezični razvoj, određene sintagme je potrebno dodatno uvježbati, razumijevanje i uporabu istih.</w:t>
            </w:r>
          </w:p>
        </w:tc>
        <w:tc>
          <w:tcPr>
            <w:tcW w:w="269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u potpunosti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f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unkcionalno upotrebljava riječi, sintagme i rečenice u skladu s dinamikom učenja s obzirom na jezični razvoj te može samostalno sastavljati tekstove: pisati ih ili govoriti u skladu s pravopisnim, pravogovornim i ostalim gramatičkim pravilima.</w:t>
            </w:r>
          </w:p>
        </w:tc>
      </w:tr>
      <w:tr>
        <w:trPr/>
        <w:tc>
          <w:tcPr>
            <w:tcW w:w="2349" w:type="dxa"/>
            <w:tcBorders>
              <w:bottom w:val="single" w:sz="12" w:space="0" w:color="000000"/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Funkcionalno primjenjuje jezična znanja.</w:t>
            </w:r>
          </w:p>
        </w:tc>
        <w:tc>
          <w:tcPr>
            <w:tcW w:w="2368" w:type="dxa"/>
            <w:tcBorders>
              <w:left w:val="doub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funkcionalno primjenjuje jezična znanja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 xml:space="preserve">Na razini djelomične reprodukcije učenik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f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unkcionalno primjenjuje jezična znanja.</w:t>
            </w:r>
          </w:p>
        </w:tc>
        <w:tc>
          <w:tcPr>
            <w:tcW w:w="2810" w:type="dxa"/>
            <w:tcBorders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Na razini reprodukcije  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 xml:space="preserve"> učenik 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f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unkcionalno primjenjuje jezična znanja.</w:t>
            </w:r>
          </w:p>
        </w:tc>
        <w:tc>
          <w:tcPr>
            <w:tcW w:w="2642" w:type="dxa"/>
            <w:tcBorders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Na razini automatizacije 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 xml:space="preserve"> učenik 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f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unkcionalno primjenjuje jezična znanja.</w:t>
            </w:r>
          </w:p>
        </w:tc>
        <w:tc>
          <w:tcPr>
            <w:tcW w:w="2699" w:type="dxa"/>
            <w:tcBorders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Na razini operativnosti 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 xml:space="preserve"> učenik 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f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unkcionalno primjenjuje jezična znanja.</w:t>
            </w:r>
          </w:p>
        </w:tc>
      </w:tr>
      <w:tr>
        <w:trPr/>
        <w:tc>
          <w:tcPr>
            <w:tcW w:w="15876" w:type="dxa"/>
            <w:gridSpan w:val="7"/>
            <w:tcBorders>
              <w:top w:val="single" w:sz="12" w:space="0" w:color="000000"/>
              <w:bottom w:val="sing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4"/>
                <w:lang w:val="hr-HR" w:eastAsia="hr-HR" w:bidi="ar-SA"/>
              </w:rPr>
              <w:t xml:space="preserve">ISHOD: 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OŠ HJ A.4.6. Učenik objašnjava razliku između zavičajnoga govora i hrvatskoga standardnog jezika.</w:t>
            </w:r>
          </w:p>
        </w:tc>
      </w:tr>
      <w:tr>
        <w:trPr/>
        <w:tc>
          <w:tcPr>
            <w:tcW w:w="2349" w:type="dxa"/>
            <w:tcBorders>
              <w:top w:val="single" w:sz="12" w:space="0" w:color="000000"/>
              <w:bottom w:val="single" w:sz="12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>
          <w:trHeight w:val="110" w:hRule="atLeast"/>
        </w:trPr>
        <w:tc>
          <w:tcPr>
            <w:tcW w:w="2349" w:type="dxa"/>
            <w:tcBorders>
              <w:top w:val="single" w:sz="12" w:space="0" w:color="000000"/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Služi se hrvatskim standardnim jezikom u javnoj komunikaciji u skladu s usvojenim jezičnim pravilima.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služi se hrvatskim standardnim jezikom u javnoj komunikaciji u skladu s usvojenim jezičnim pravilima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lang w:val="hr-BA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eastAsia="en-US" w:bidi="ar-SA"/>
              </w:rPr>
              <w:t xml:space="preserve">Uz ispravljanja i navođenja djelomično se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eastAsia="hr-HR" w:bidi="ar-SA"/>
              </w:rPr>
              <w:t xml:space="preserve"> s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eastAsia="en-US" w:bidi="ar-SA"/>
              </w:rPr>
              <w:t xml:space="preserve">luži hrvatskim standardnim jezikom u javnoj komunikaciji u skladu s usvojenim jezičnim pravilima. Pošto su jezična  pravila slabo usvojena, i uporaba hrvatskog standardnog jezika u javnoj komunikaciji je 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BA" w:eastAsia="en-US" w:bidi="ar-SA"/>
              </w:rPr>
              <w:t>nasumična i puna grešaka.</w:t>
            </w:r>
          </w:p>
        </w:tc>
        <w:tc>
          <w:tcPr>
            <w:tcW w:w="2810" w:type="dxa"/>
            <w:tcBorders>
              <w:top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Djelomično se služi  hrvatskim standardnim jezikom u javnoj komunikaciji djelomično u skladu s usvojenim jezičnim pravilima.</w:t>
            </w:r>
          </w:p>
        </w:tc>
        <w:tc>
          <w:tcPr>
            <w:tcW w:w="2642" w:type="dxa"/>
            <w:tcBorders>
              <w:top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Služi se hrvatskim standardnim jezikom u javnoj komunikaciji  većinom u skladu s usvojenim jezičnim pravilima. Ponekad odstupa od standarda i rabi kolokvijalizme ili riječi iz narječja, ali uviđa greške.</w:t>
            </w:r>
          </w:p>
        </w:tc>
        <w:tc>
          <w:tcPr>
            <w:tcW w:w="2699" w:type="dxa"/>
            <w:tcBorders>
              <w:top w:val="sing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 potpunosti se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sl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uži  hrvatskim standardnim jezikom u javnoj komunikaciji u skladu s usvojenim jezičnim pravilima.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mjesni govor i hrvatski standardni jezik navodeći ogledne i česte primjere.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razlikuje mjesni govor i hrvatski standardni jezik navodeći ogledne i česte primjere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 xml:space="preserve">Prepoznaje, ali slabije razlikuje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mjesni govor i hrvatski standardni jezik navodeći ogledne i česte primjere.</w:t>
            </w:r>
          </w:p>
        </w:tc>
        <w:tc>
          <w:tcPr>
            <w:tcW w:w="281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Prepoznaje i djelomično razlikuje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mjesni govor i hrvatski standardni jezik navodeći ogledne i česte primjere.</w:t>
            </w:r>
          </w:p>
        </w:tc>
        <w:tc>
          <w:tcPr>
            <w:tcW w:w="26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Razlikuje i upotrebljava uz poneke greške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mjesni govor i hrvatski standardni jezik navodeći ogledne i česte primjere.</w:t>
            </w:r>
          </w:p>
        </w:tc>
        <w:tc>
          <w:tcPr>
            <w:tcW w:w="269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Razlikuje i upotrebljava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mjesni govor i hrvatski standardni jezik navodeći ogledne i česte primjere.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važnost pozitivnog odnosa prema mjesnom govoru.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uočava važnost pozitivnog odnosa prema mjesnom govoru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Djelomično uočava važnost pozitivnog odnosa prema mjesnom govoru.</w:t>
            </w:r>
          </w:p>
        </w:tc>
        <w:tc>
          <w:tcPr>
            <w:tcW w:w="281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Povremeno uočava važnost pozitivnog odnosa prema mjesnom govoru.</w:t>
            </w:r>
          </w:p>
        </w:tc>
        <w:tc>
          <w:tcPr>
            <w:tcW w:w="26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Uočava važnost pozitivnog odnosa prema mjesnom govoru.</w:t>
            </w:r>
          </w:p>
        </w:tc>
        <w:tc>
          <w:tcPr>
            <w:tcW w:w="269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Uočava i objašnjava važnost pozitivnog odnosa prema mjesnom govoru.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važnosti mjesnoga govora i prepoznaje njegovu komunikacijsku ulogu na pojedinome prostoru (raznolikost hrvatskih govora, jezične zajednice u Hrvatskoj i izvan granica Republike Hrvatske).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uočava važnosti mjesnoga govora i prepoznaje njegovu komunikacijsku ulogu na pojedinome prostoru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 xml:space="preserve">Čak i uz primjere slabije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u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očava važnosti mjesnoga govora i prepoznaje njegovu komunikacijsku ulogu na pojedinome prostoru (raznolikost hrvatskih govora, jezične zajednice u Hrvatskoj i izvan granica Republike Hrvatske). Primjenjuje načelo zavičajnosti i uočava svoj mjesni govor i prepoznaje ga, ali ostale ne određuje,, niti smješta u dio Republike Hrvatske samostalno).</w:t>
            </w:r>
          </w:p>
        </w:tc>
        <w:tc>
          <w:tcPr>
            <w:tcW w:w="281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Uz ogledne primjere uočava važnosti mjesnoga govora i prepoznaje njegovu komunikacijsku ulogu na pojedinome prostoru (raznolikost hrvatskih govora, jezične zajednice u Hrvatskoj i izvan granica Republike Hrvatske).</w:t>
            </w:r>
          </w:p>
        </w:tc>
        <w:tc>
          <w:tcPr>
            <w:tcW w:w="26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Uočava važnosti mjesnoga govora i prepoznaje njegovu komunikacijsku ulogu na pojedinome prostoru (raznolikost hrvatskih govora, jezične zajednice u Hrvatskoj i izvan granica Republike Hrvatske).</w:t>
            </w:r>
          </w:p>
        </w:tc>
        <w:tc>
          <w:tcPr>
            <w:tcW w:w="269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Uočava važnosti mjesnoga govora, prepoznaje i opisuje njegovu komunikacijsku ulogu na pojedinome prostoru (raznolikost hrvatskih govora, jezične zajednice u Hrvatskoj i izvan granica Republike Hrvatske).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Čita i sluša tekstove na kajkavskome, čakavskom i štokavskom narječju i prepoznaje kojemu narječju pripada i prepoznaje narječje kojem pripada njegov govor.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čita i sluša tekstove na kajkavskome, čakavskom i štokavskom narječju i prepoznaje kojemu narječju pripada i prepoznaje narječje kojem pripada njegov govor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Čita i sluša tekstove na kajkavskome, čakavskom i štokavskom narječju. Uz primjer prepoznaje narječje kojem pripada njegov govor, ali ostale ne prepoznaje.</w:t>
            </w:r>
          </w:p>
        </w:tc>
        <w:tc>
          <w:tcPr>
            <w:tcW w:w="2810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Čita i sluša tekstove na kajkavskome, čakavskom i štokavskom narječju. Povremeno prepoznaje kojemu narječju pripada. Prepoznaje narječje kojem pripada njegov govor.</w:t>
            </w:r>
          </w:p>
        </w:tc>
        <w:tc>
          <w:tcPr>
            <w:tcW w:w="2642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Čita i sluša tekstove na kajkavskome, čakavskom i štokavskom narječju i većinom prepoznaje kojemu narječju pripada i većinom prepoznaje narječje kojem pripada njegov govor.</w:t>
            </w:r>
          </w:p>
        </w:tc>
        <w:tc>
          <w:tcPr>
            <w:tcW w:w="2699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Pri čitanju pravilno izgovara zavičajne riječi, sluša tekstove na kajkavskome, čakavskom i štokavskom narječju i prepoznaje kojemu narječju pripada i prepoznaje narječje kojem pripada njegov govor.</w:t>
            </w:r>
          </w:p>
        </w:tc>
      </w:tr>
      <w:tr>
        <w:trPr/>
        <w:tc>
          <w:tcPr>
            <w:tcW w:w="15876" w:type="dxa"/>
            <w:gridSpan w:val="7"/>
            <w:tcBorders>
              <w:top w:val="single" w:sz="12" w:space="0" w:color="000000"/>
            </w:tcBorders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>
              <w:rPr>
                <w:rFonts w:cs="Calibri" w:cstheme="minorHAnsi"/>
                <w:b/>
                <w:color w:val="C00000"/>
                <w:kern w:val="0"/>
                <w:sz w:val="28"/>
                <w:lang w:val="hr-HR" w:bidi="ar-SA"/>
              </w:rPr>
              <w:t>SASTAVNICA/ELEMENT VREDNOVANJA PREMA KURIKULARNIM DOKUMENTIMA: KNJIŽEVNOST I  STVARALAŠTVO</w:t>
            </w:r>
          </w:p>
        </w:tc>
      </w:tr>
      <w:tr>
        <w:trPr/>
        <w:tc>
          <w:tcPr>
            <w:tcW w:w="15876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8"/>
                <w:szCs w:val="28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8"/>
                <w:lang w:val="hr-HR" w:eastAsia="hr-HR" w:bidi="ar-SA"/>
              </w:rPr>
              <w:t>ISHOD: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 OŠ HJ B.4.1. Učenik izražava doživljaj književnoga teksta u skladu s vlastitim čitateljskim iskustvom.</w:t>
            </w:r>
          </w:p>
        </w:tc>
      </w:tr>
      <w:tr>
        <w:trPr/>
        <w:tc>
          <w:tcPr>
            <w:tcW w:w="2349" w:type="dxa"/>
            <w:tcBorders>
              <w:top w:val="nil"/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doživljaj i razumijevanje književnoga teksta s vlastitim misaonim i emotivnim reakcijama na tekst.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povezuje doživljaj i razumijevanje književnoga teksta s vlastitim misaonim i emotivnim reakcijama na tekst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Skromno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ovezuje doživljaj i razumijevanje književnoga teksta s vlastitim misaonim i emotivnim reakcijama na tekst te ih rijetko iskazuje.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 ili nakon primjera  povezuje doživljaj i razumijevanje književnoga teksta s vlastitim misaonim i emotivnim reakcijama na tekst.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doživljaj i razumijevanje književnoga teksta s vlastitim misaonim i emotivnim reakcijama na tekst.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Uspješno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ovezuje i opisuje doživljaj i razumijevanje književnoga teksta s vlastitim misaonim i emotivnim reakcijama na tekst.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sadržaj, temu i motive teksta s vlastitim iskustvom.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povezuje sadržaj, temu i motive teksta s vlastitim iskustvom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Teže povezuje sadržaj, temu i motive teksta s vlastitim iskustvom.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Korak po korak i uz navođenje  povezuje sadržaj, temu i motive teksta s vlastitim iskustvom.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sadržaj, temu i motive teksta s vlastitim iskustvom.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 lakoćom  povezuje sadržaj, temu i motive teksta s vlastitim iskustvom.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Pokazuje radoznalost, sklonost i znatiželju za komunikaciju s književnim tekstom.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pokazuje radoznalost, sklonost i znatiželju za komunikaciju s književnim tekstom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Ponekad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okazuje radoznalost, sklonost i znatiželju za komunikaciju s književnim tekstom.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Povremeno  p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okazuje radoznalost, sklonost i znatiželju za komunikaciju s književnim tekstom.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Gotovo uvijek  p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okazuje radoznalost, sklonost i znatiželju za komunikaciju s književnim tekstom.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Uvijek  p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okazuje radoznalost, sklonost i znatiželju za komunikaciju s književnim tekstom.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Razgovara s drugim učenicima o vlastitome doživljaju teksta.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razgovara s drugim učenicima o vlastitome doživljaju teksta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Ponekad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r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azgovara s drugim učenicima o vlastitome doživljaju teksta.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Povremeno  r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azgovara s drugim učenicima o vlastitome doživljaju teksta.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Razgovara s drugim učenicima o vlastitome doživljaju teksta.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Poštujući pravila  r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azgovara učenicima iznosi vlastite doživljaje teksta.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vrijedne poruke i mudre izreke.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vrijedne poruke i mudre izreke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Djelomično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repoznaje vrijedne poruke i mudre izreke.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vrijedne poruke i mudre izreke.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razlikuje  vrijedne poruke i mudre izreke.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Prepoznaje, razlikuje i objašnjava  vrijedne poruke i mudre izreke.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ListParagraph"/>
              <w:widowControl/>
              <w:spacing w:lineRule="auto" w:line="240" w:before="0" w:after="0"/>
              <w:ind w:left="38" w:hanging="0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Argumentira vlastite doživljaje i zaključuje o uočenim vrijednostima književnoga teksta.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argumentira vlastite doživljaje i zaključuje o uočenim vrijednostima književnoga teksta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Djelomično i isključivo uz poticaj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argumentira vlastite doživljaje književnog teksta.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Povremeno  argumentira vlastite doživljaje, ali tek uz pojašnjenje i jasne upute zaključuje o uočenim vrijednostima književnoga teksta.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 argumentira vlastite doživljaje i zaključuje o uočenim vrijednostima književnoga teksta.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argumentira vlastite doživljaje i zaključuje o uočenim vrijednostima književnoga teksta.</w:t>
            </w:r>
          </w:p>
        </w:tc>
      </w:tr>
      <w:tr>
        <w:trPr/>
        <w:tc>
          <w:tcPr>
            <w:tcW w:w="15876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8"/>
                <w:szCs w:val="28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4"/>
                <w:lang w:val="hr-HR" w:eastAsia="hr-HR" w:bidi="ar-SA"/>
              </w:rPr>
              <w:t xml:space="preserve">ISHOD: 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OŠ HJ B.4.2. Učenik čita književni tekst i objašnjava obilježja književnoga teksta.</w:t>
            </w:r>
          </w:p>
        </w:tc>
      </w:tr>
      <w:tr>
        <w:trPr/>
        <w:tc>
          <w:tcPr>
            <w:tcW w:w="2349" w:type="dxa"/>
            <w:tcBorders>
              <w:top w:val="nil"/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osnovna obilježja pripovijetke, pjesme, bajke, basne, zagonetke, igrokaza, biografije i dječjega romana, mudre izreke.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osnovna obilježja pripovijetke, pjesme, bajke, basne, zagonetke, igrokaza, biografije i dječjega romana, mudre izreke</w:t>
            </w:r>
          </w:p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Djelomično prepoznaje osnovna obilježja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pripovijetke, pjesme, bajke, basne, zagonetke, igrokaza, biografije i dječjega romana, mudre izreke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 osnovna obilježja pripovijetke, pjesme, bajke, basne, zagonetke, igrokaza, biografije i dječjega romana, mudre izreke. Objašnjava ih tek uz poticaj.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razlikuje, ali uz manji poticaj  objašnjava osnovna obilježja pripovijetke, pjesme, bajke, basne, zagonetke, igrokaza, biografije i dječjega romana, mudre izreke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U potpunosti samostalno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o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bjašnjava osnovna obilježja pripovijetke, pjesme, bajke, basne, zagonetke, igrokaza, biografije i dječjega romana, mudre izreke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pjesničke slike (slika u pokretu, slika u mirovanju), personifikaciju i onomatopeju u književnome tekstu.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pjesničke slike, personifikaciju i onomatopeju u književnome tekstu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Djelomično prepoznaje neke pjesničke slike (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slika u pokretu, slika u mirovanju), personifikaciju i onomatopeju u književnome tekstu.)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neke pjesničke slike (slika u pokretu, slika u mirovanju), personifikaciju i onomatopeju u književnome tekstu.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razlikuje  pjesničke slike (slika u pokretu, slika u mirovanju), personifikaciju i onomatopeju u književnome tekstu.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Prepoznaje, razlikuje, opisuje i uspoređuje pjesničke slike (slika u pokretu, slika u mirovanju), personifikaciju i onomatopeju u književnome tekstu.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obilježja poetskih tekstova: stih, strofa, ritam, zvučnost, slikovitost, ponavljanje u stihu, pjesničke slike, onomatopeja, personifikacija.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obilježja poetskih tekstova: stih, strofa, ritam, zvučnost, slikovitost, ponavljanje u stihu, pjesničke slike, onomatopeja, personifikacija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Djelomično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pr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epoznaje neke od obilježja poetskih tekstova: stih, strofa, ritam, zvučnost, slikovitost, ponavljanje u stihu, pjesničke slike, onomatopeja, personifikacija.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neke od  obilježja poetskih tekstova: stih, strofa, ritam, zvučnost, slikovitost, ponavljanje u stihu, pjesničke slike, onomatopeja, personifikacija.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razlikuje gotovo sva obilježja poetskih tekstova: stih, strofa, ritam, zvučnost, slikovitost, ponavljanje u stihu, pjesničke slike, onomatopeja, personifikacija.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Prepoznaje, razlikuje i opisuje obilježja poetskih tekstova: stih, strofa, ritam, zvučnost, slikovitost, ponavljanje u stihu, pjesničke slike, onomatopeja, personifikacija.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obilježja proznih tekstova: događaj, likovi, pripovjedne tehnike.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obilježja proznih tekstova: događaj, likovi, pripovjedne tehnike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Djelomično prepoznaje neka obilježja proznih tekstova: likovi, događaj, tema. Pripovjedne tehnike ne razlikuje.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Prepoznaje neka obilježja proznih tekstova: likovi (glavni i sporedni), događaja i redoslijed istih (razlikuje većinu glavnih događaja, ali ih teže slaže pravilnim redoslijedom). Pripovjedne tehnike prepoznaje uz poticaj. 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razlikuje obilježja proznih tekstova; razlikuje pripovjedne tehnike.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Prepoznaje, razvrstava i opisuje obilježja proznih tekstova; razlikuje pripovjedne tehnike i objašnjava ih.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obilježja dramskih tekstova: lica, dijalog, monolog.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obilježja dramskih tekstova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 xml:space="preserve">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Djelomično prepoznaje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obilježja dramskih tekstova: lica, dijalog, monolog.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uz poneki poticaj  obilježja dramskih tekstova: lica, dijalog, monolog.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 većinom samostalno uspoređuje  obilježja dramskih tekstova: lica, dijalog, monolog.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opisuje i uspoređuje  obilježja dramskih tekstova: lica, dijalog, monolog.</w:t>
            </w:r>
          </w:p>
        </w:tc>
      </w:tr>
      <w:tr>
        <w:trPr/>
        <w:tc>
          <w:tcPr>
            <w:tcW w:w="15876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8"/>
                <w:szCs w:val="28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4"/>
                <w:lang w:val="hr-HR" w:eastAsia="hr-HR" w:bidi="ar-SA"/>
              </w:rPr>
              <w:t xml:space="preserve">ISHOD: 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OŠ HJ B.4.3. Učenik čita književne tekstove prema vlastitome interesu i obrazlaže svoj izbor.</w:t>
            </w:r>
          </w:p>
        </w:tc>
      </w:tr>
      <w:tr>
        <w:trPr/>
        <w:tc>
          <w:tcPr>
            <w:tcW w:w="2349" w:type="dxa"/>
            <w:tcBorders>
              <w:top w:val="nil"/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6231" w:type="dxa"/>
            <w:gridSpan w:val="3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Razvija čitateljske navike kontinuiranim čitanjem i motivacijom za čitanjem različitih žanrova.</w:t>
            </w:r>
          </w:p>
        </w:tc>
        <w:tc>
          <w:tcPr>
            <w:tcW w:w="9645" w:type="dxa"/>
            <w:gridSpan w:val="4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ishoda se prati i ne podliježe vrednovanju.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dječje rječnike, enciklopedije i leksikon.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razlikuje dječje rječnike, enciklopedije i leksikon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Prepoznaje dječji leksikon i nakon jasnih uputa i jednostavnih zadataka, služi se istim.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koristi dječji leksikon samostalno, ali za uporabu enciklopedije i leksikona traži dodatne upute i pojašnjenja.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Većinom se samostalno i uspješno služi dječjim rječnikom, leksikonom i dječjim enciklopedijama. 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i bez uputa služi se dječjim rječnicima, enciklopedijama i leksikonima, jednako u digitalnom i tiskanom obliku.</w:t>
            </w:r>
          </w:p>
        </w:tc>
      </w:tr>
      <w:tr>
        <w:trPr/>
        <w:tc>
          <w:tcPr>
            <w:tcW w:w="6231" w:type="dxa"/>
            <w:gridSpan w:val="3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Redovito izlaže svoj čitateljski izbor ostalim učenicima.</w:t>
            </w:r>
          </w:p>
        </w:tc>
        <w:tc>
          <w:tcPr>
            <w:tcW w:w="9645" w:type="dxa"/>
            <w:gridSpan w:val="4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Razgovara o izabranome i pročitanom književnom djelu.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razgovara o izabranome i pročitanom književnom djelu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Isključivo uz poticaj i metodom intervjua (postavljanje pitanja)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r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azgovara o izabranome i pročitanom književnom djelu. Rječnik je siromašan, a rečenice kratke i često agramatične.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dodatni poticaj  razgovara o izabranome i pročitanom književnom djelu. Siromašnijeg rječnika i jednostavnijih rečenica u izlaganju.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Razgovara o izabranome i pročitanom književnom djelu uspješno i samostalno, ali ponekad je potrebno postaviti pokoje pitanje.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Tečno, bogatim rječnikom i proširenim rečenicama, poštujući norme standardnog hrvatskoga jezika razgovara o izabranome i pročitanome djelu.</w:t>
            </w:r>
          </w:p>
        </w:tc>
      </w:tr>
      <w:tr>
        <w:trPr/>
        <w:tc>
          <w:tcPr>
            <w:tcW w:w="6231" w:type="dxa"/>
            <w:gridSpan w:val="3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Izabire tekstove prema interesu sa šireg popisa predloženih književnih.</w:t>
            </w:r>
          </w:p>
        </w:tc>
        <w:tc>
          <w:tcPr>
            <w:tcW w:w="9645" w:type="dxa"/>
            <w:gridSpan w:val="4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ishoda se prati i ne podliježe vrednovanju.</w:t>
            </w:r>
          </w:p>
        </w:tc>
      </w:tr>
      <w:tr>
        <w:trPr/>
        <w:tc>
          <w:tcPr>
            <w:tcW w:w="15876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4"/>
                <w:lang w:val="hr-HR" w:eastAsia="hr-HR" w:bidi="ar-SA"/>
              </w:rPr>
              <w:t xml:space="preserve">ISHOD: 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OŠ HJ B.4.4. Učenik se stvaralački izražava potaknut književnim tekstom, iskustvima i doživljajima.</w:t>
            </w:r>
          </w:p>
        </w:tc>
      </w:tr>
      <w:tr>
        <w:trPr/>
        <w:tc>
          <w:tcPr>
            <w:tcW w:w="2349" w:type="dxa"/>
            <w:tcBorders>
              <w:top w:val="nil"/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34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Koristi se jezičnim vještinama, aktivnim rječnikom i temeljnim znanjima radi oblikovanja uradaka u kojima dolazi do izražaja kreativnost, originalnost i stvaralačko mišljenje. </w:t>
            </w:r>
          </w:p>
        </w:tc>
        <w:tc>
          <w:tcPr>
            <w:tcW w:w="2368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koristi se jezičnim vještinama, aktivnim rječnikom i temeljnim znanjima radi oblikovanja uradaka u kojima dolazi do izražaja kreativnost, originalnost i stvaralačko mišljenje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Na razini djelomične reprodukcije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koristi se jezičnim vještinama, aktivnim rječnikom, koji je prilično siromašan,  i temeljnim znanjima radi oblikovanja uradaka u kojima dolazi do izražaja kreativnost, originalnost i stvaralačko mišljenje u tragovima.</w:t>
            </w:r>
          </w:p>
        </w:tc>
        <w:tc>
          <w:tcPr>
            <w:tcW w:w="28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 razini reprodukcije  koristi se jezičnim vještinama, aktivnim rječnikom i temeljnim znanjima radi oblikovanja uradaka u kojima dolazi do djelomičnog izražaja kreativnosti, originalnosti i stvaralačkog mišljenja. Usvojen vještine ne razvija dovoljno kako bi se nove nadogradile na poznate.</w:t>
            </w:r>
          </w:p>
        </w:tc>
        <w:tc>
          <w:tcPr>
            <w:tcW w:w="264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 razini automatizacije  koristi se jezičnim vještinama, aktivnim rječnikom i temeljnim znanjima radi oblikovanja uradaka u kojima dolazi do izražaja kreativnost, originalnost i stvaralačko mišljenje.</w:t>
            </w:r>
          </w:p>
        </w:tc>
        <w:tc>
          <w:tcPr>
            <w:tcW w:w="2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Na razini operativnosti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k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oristi se jezičnim vještinama, aktivnim rječnikom i temeljnim znanjima radi oblikovanja uradaka u kojima dolazi do izražaja kreativnost, originalnost i stvaralačko mišljenje.</w:t>
            </w:r>
          </w:p>
        </w:tc>
      </w:tr>
      <w:tr>
        <w:trPr/>
        <w:tc>
          <w:tcPr>
            <w:tcW w:w="6231" w:type="dxa"/>
            <w:gridSpan w:val="3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Prikuplja vlastite uratke u radnu mapu (portfolio) prateći vlastiti napredak.</w:t>
            </w:r>
          </w:p>
        </w:tc>
        <w:tc>
          <w:tcPr>
            <w:tcW w:w="9645" w:type="dxa"/>
            <w:gridSpan w:val="4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3" w:hanging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ishoda se prati i ne podliježe vrednovanju.</w:t>
            </w:r>
          </w:p>
        </w:tc>
      </w:tr>
      <w:tr>
        <w:trPr/>
        <w:tc>
          <w:tcPr>
            <w:tcW w:w="6231" w:type="dxa"/>
            <w:gridSpan w:val="3"/>
            <w:tcBorders>
              <w:right w:val="double" w:sz="12" w:space="0" w:color="000000"/>
            </w:tcBorders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Stvara različite individualne uratke: pripovijeda sadržaj književnoga teksta iz perspektive drugoga lika, vremena ili mjesta, izražajno čita književne tekstove, recitira/krasnoslovi, piše dnevnik, snima audioprilog, stvara fotopriču ili fotostrip.</w:t>
            </w:r>
          </w:p>
        </w:tc>
        <w:tc>
          <w:tcPr>
            <w:tcW w:w="9645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>
        <w:trPr/>
        <w:tc>
          <w:tcPr>
            <w:tcW w:w="15876" w:type="dxa"/>
            <w:gridSpan w:val="7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>
              <w:rPr>
                <w:rFonts w:cs="Calibri" w:cstheme="minorHAnsi"/>
                <w:b/>
                <w:color w:val="C00000"/>
                <w:kern w:val="0"/>
                <w:sz w:val="28"/>
                <w:lang w:val="hr-HR" w:bidi="ar-SA"/>
              </w:rPr>
              <w:t>SASTAVNICA/ELEMENT VREDNOVANJA PREMA KURIKULARNIM DOKUMENTIMA: KULTURA I MEDIJI</w:t>
            </w:r>
          </w:p>
        </w:tc>
      </w:tr>
      <w:tr>
        <w:trPr/>
        <w:tc>
          <w:tcPr>
            <w:tcW w:w="15876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4"/>
                <w:lang w:val="hr-HR" w:eastAsia="hr-HR" w:bidi="ar-SA"/>
              </w:rPr>
              <w:t xml:space="preserve">ISHOD: 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OŠ HJ C.4.1. Učenik izdvaja važne podatke koristeći se različitim izvorima primjerenima dobi.</w:t>
            </w:r>
          </w:p>
        </w:tc>
      </w:tr>
      <w:tr>
        <w:trPr/>
        <w:tc>
          <w:tcPr>
            <w:tcW w:w="2349" w:type="dxa"/>
            <w:tcBorders>
              <w:top w:val="nil"/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6231" w:type="dxa"/>
            <w:gridSpan w:val="3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moguće izvore podataka i informacija: stručnjaci ili drugi pojedinci, školske ili narodne/gradske knjižnice, Internet.</w:t>
            </w:r>
          </w:p>
        </w:tc>
        <w:tc>
          <w:tcPr>
            <w:tcW w:w="9645" w:type="dxa"/>
            <w:gridSpan w:val="4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razrade ishoda se prati i ne podliježe vrednovanju.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</w:tr>
      <w:tr>
        <w:trPr/>
        <w:tc>
          <w:tcPr>
            <w:tcW w:w="2349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Dolazi do podataka kombinirajući različite izvore.</w:t>
            </w:r>
          </w:p>
        </w:tc>
        <w:tc>
          <w:tcPr>
            <w:tcW w:w="2368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dolazi do podataka kombinirajući različite izvore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Isključivo uz poticaj i navođenje, u malim spoznajnim koracima i uz jedan izvor znanja, dolazi do podataka.</w:t>
            </w:r>
          </w:p>
        </w:tc>
        <w:tc>
          <w:tcPr>
            <w:tcW w:w="28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poticaj, jasne upute i ograničavanje broja materijala izvora znanja, relativno uspješno, uz pomoć, dolazi do podataka.</w:t>
            </w:r>
          </w:p>
        </w:tc>
        <w:tc>
          <w:tcPr>
            <w:tcW w:w="26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raznovrsno ponuđene izvore znanja, samostalno odabire neke izvore u kojima se osjeća najkompetentnije u dolaženju do podataka.</w:t>
            </w: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Jednako se uspješno snalazi u kombiniranju podataka iz digitalnih medija i tiskanih materijala.</w:t>
            </w:r>
          </w:p>
        </w:tc>
      </w:tr>
      <w:tr>
        <w:trPr/>
        <w:tc>
          <w:tcPr>
            <w:tcW w:w="6231" w:type="dxa"/>
            <w:gridSpan w:val="3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Prepoznaje, preuzima, pregledava i objašnjava materijale sa školske mrežne stranice.</w:t>
            </w:r>
          </w:p>
        </w:tc>
        <w:tc>
          <w:tcPr>
            <w:tcW w:w="9645" w:type="dxa"/>
            <w:gridSpan w:val="4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razrade ishoda se prati i ne podliježe vrednovanju.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</w:r>
          </w:p>
        </w:tc>
      </w:tr>
      <w:tr>
        <w:trPr/>
        <w:tc>
          <w:tcPr>
            <w:tcW w:w="6231" w:type="dxa"/>
            <w:gridSpan w:val="3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Upotrebljava podatke u različite svrhe: proširuje sadržaje učenja, priprema se za pisanje i govorenje.</w:t>
            </w:r>
          </w:p>
        </w:tc>
        <w:tc>
          <w:tcPr>
            <w:tcW w:w="9645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>
        <w:trPr/>
        <w:tc>
          <w:tcPr>
            <w:tcW w:w="15876" w:type="dxa"/>
            <w:gridSpan w:val="7"/>
            <w:tcBorders>
              <w:top w:val="single" w:sz="12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4"/>
                <w:lang w:val="hr-HR" w:eastAsia="hr-HR" w:bidi="ar-SA"/>
              </w:rPr>
              <w:t>ISHOD: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 OŠ HJ C.4.2. Učenik razlikuje elektroničke medije primjerene dobi i interesima učenika.</w:t>
            </w:r>
          </w:p>
        </w:tc>
      </w:tr>
      <w:tr>
        <w:trPr/>
        <w:tc>
          <w:tcPr>
            <w:tcW w:w="2349" w:type="dxa"/>
            <w:tcBorders>
              <w:top w:val="nil"/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349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televiziju, radio, Internet.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368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razlikuje televiziju, radio, internet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Razlikuje po vrsti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televiziju, radio, Internet.</w:t>
            </w:r>
          </w:p>
        </w:tc>
        <w:tc>
          <w:tcPr>
            <w:tcW w:w="28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određeni poticaj  razlikuje i uspoređuje televiziju, radio, Internet.</w:t>
            </w:r>
          </w:p>
        </w:tc>
        <w:tc>
          <w:tcPr>
            <w:tcW w:w="26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 uspoređuje  televiziju, radio, Internet te ih međusobno pojašnjava.</w:t>
            </w: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Kritički zaključuje o razlikama i sličnostima televizije, Interneta i radija.</w:t>
            </w:r>
          </w:p>
        </w:tc>
      </w:tr>
      <w:tr>
        <w:trPr/>
        <w:tc>
          <w:tcPr>
            <w:tcW w:w="6231" w:type="dxa"/>
            <w:gridSpan w:val="3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Gleda emisije za djecu i razgovara o njima.</w:t>
            </w:r>
          </w:p>
        </w:tc>
        <w:tc>
          <w:tcPr>
            <w:tcW w:w="9645" w:type="dxa"/>
            <w:gridSpan w:val="4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razrade ishoda se prati i ne podliježe vrednovanju.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349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razliku između novinskih priloga na televiziji i radiju (primjerice, intervju).</w:t>
            </w:r>
          </w:p>
        </w:tc>
        <w:tc>
          <w:tcPr>
            <w:tcW w:w="2368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razliku između novinskih priloga na televiziji i radiju (primjerice, intervju)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Uz zorni  primjer razlikuje prilog s televizije od radijskog priloga</w:t>
            </w:r>
          </w:p>
        </w:tc>
        <w:tc>
          <w:tcPr>
            <w:tcW w:w="2810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novinske priloge na televiziji i radiju (intervju, reportaža), konkretne usporedbe i razlike uočava uz ponuđene odgovore.</w:t>
            </w:r>
          </w:p>
        </w:tc>
        <w:tc>
          <w:tcPr>
            <w:tcW w:w="264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razliku između novinskih priloga na televiziji i radiju (primjerice, intervju i reportaža).</w:t>
            </w:r>
          </w:p>
        </w:tc>
        <w:tc>
          <w:tcPr>
            <w:tcW w:w="2699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i  objašnjava razliku između novinskih priloga na televiziji i radiju (primjerice, intervju i reportaža).</w:t>
            </w:r>
          </w:p>
        </w:tc>
      </w:tr>
      <w:tr>
        <w:trPr/>
        <w:tc>
          <w:tcPr>
            <w:tcW w:w="6231" w:type="dxa"/>
            <w:gridSpan w:val="3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Pristupa društvenim mrežama uz vođenje i usmjeravanje te pretražuje mrežne portale za djecu.</w:t>
            </w:r>
          </w:p>
        </w:tc>
        <w:tc>
          <w:tcPr>
            <w:tcW w:w="9645" w:type="dxa"/>
            <w:gridSpan w:val="4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razrade ishoda se prati i ne podliježe vrednovanju.</w:t>
            </w:r>
          </w:p>
        </w:tc>
      </w:tr>
      <w:tr>
        <w:trPr/>
        <w:tc>
          <w:tcPr>
            <w:tcW w:w="6231" w:type="dxa"/>
            <w:gridSpan w:val="3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Gleda animirane, dokumentarne i igrane filmove i filmove dječjega filmskog stvaralaštva tematski i sadržajno primjerene recepcijskim i spoznajnim mogućnostima.</w:t>
            </w:r>
          </w:p>
        </w:tc>
        <w:tc>
          <w:tcPr>
            <w:tcW w:w="9645" w:type="dxa"/>
            <w:gridSpan w:val="4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razrade ishoda se prati i ne podliježe vrednovanju.</w:t>
            </w:r>
          </w:p>
        </w:tc>
      </w:tr>
      <w:tr>
        <w:trPr/>
        <w:tc>
          <w:tcPr>
            <w:tcW w:w="2349" w:type="dxa"/>
            <w:tcBorders>
              <w:top w:val="single" w:sz="6" w:space="0" w:color="000000"/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Zamjećuje sličnosti i razlike između književnoga djela, kazališne predstave ili filma nastalih prema književnome djelu.</w:t>
            </w:r>
          </w:p>
        </w:tc>
        <w:tc>
          <w:tcPr>
            <w:tcW w:w="2368" w:type="dxa"/>
            <w:tcBorders>
              <w:top w:val="single" w:sz="6" w:space="0" w:color="000000"/>
              <w:left w:val="doub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zamjećuje sličnosti i razlike između književnoga djela, kazališne predstave ili filma nastalih prema književnome djelu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Tek uz navedene razlike i sličnosti prepoznaje prema ponuđenome jasne i izrazito zamjetne razlike i sličnosti između književnoga djela i filma nastaloga prema književnome djelu.</w:t>
            </w:r>
          </w:p>
        </w:tc>
        <w:tc>
          <w:tcPr>
            <w:tcW w:w="2810" w:type="dxa"/>
            <w:tcBorders>
              <w:top w:val="single" w:sz="6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Povremeno i uz primjer prepoznaje sličnosti i razlike između književnog djela ili filma nastalog prema književnome djelu.</w:t>
            </w:r>
          </w:p>
        </w:tc>
        <w:tc>
          <w:tcPr>
            <w:tcW w:w="2642" w:type="dxa"/>
            <w:tcBorders>
              <w:top w:val="single" w:sz="6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Zamjećuje sličnosti i razlike između književnoga djela, kazališne predstave ili filma nastalih prema književnome djelu.</w:t>
            </w:r>
          </w:p>
        </w:tc>
        <w:tc>
          <w:tcPr>
            <w:tcW w:w="2699" w:type="dxa"/>
            <w:tcBorders>
              <w:top w:val="single" w:sz="6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Zamjećuje, opisuje i uspoređuje sličnosti i razlike između književnoga djela, kazališne predstave ili filma nastalih prema književnome djelu.</w:t>
            </w:r>
          </w:p>
        </w:tc>
      </w:tr>
      <w:tr>
        <w:trPr/>
        <w:tc>
          <w:tcPr>
            <w:tcW w:w="15876" w:type="dxa"/>
            <w:gridSpan w:val="7"/>
            <w:tcBorders>
              <w:top w:val="single" w:sz="12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tabs>
                <w:tab w:val="clear" w:pos="708"/>
                <w:tab w:val="left" w:pos="2241" w:leader="none"/>
                <w:tab w:val="center" w:pos="7830" w:leader="none"/>
              </w:tabs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4"/>
                <w:lang w:val="hr-HR" w:eastAsia="hr-HR" w:bidi="ar-SA"/>
              </w:rPr>
              <w:t>ISHOD: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 OŠ HJ C.4.3. Učenik razlikuje i opisuje kulturne događaje koje posjećuje i iskazuje svoje mišljenje o njima.</w:t>
            </w:r>
          </w:p>
        </w:tc>
      </w:tr>
      <w:tr>
        <w:trPr/>
        <w:tc>
          <w:tcPr>
            <w:tcW w:w="2349" w:type="dxa"/>
            <w:tcBorders>
              <w:top w:val="nil"/>
              <w:bottom w:val="single" w:sz="6" w:space="0" w:color="000000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36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3008" w:type="dxa"/>
            <w:gridSpan w:val="2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810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642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99" w:type="dxa"/>
            <w:tcBorders>
              <w:top w:val="single" w:sz="12" w:space="0" w:color="000000"/>
              <w:bottom w:val="single" w:sz="6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6231" w:type="dxa"/>
            <w:gridSpan w:val="3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Posjećuje i sudjeluje u kulturnim događajima (likovnima, glazbenim, znanstveno-popularnim).</w:t>
            </w:r>
          </w:p>
        </w:tc>
        <w:tc>
          <w:tcPr>
            <w:tcW w:w="9645" w:type="dxa"/>
            <w:gridSpan w:val="4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>
        <w:trPr/>
        <w:tc>
          <w:tcPr>
            <w:tcW w:w="6231" w:type="dxa"/>
            <w:gridSpan w:val="3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Razgovara sa sudionicima tijekom i nakon kulturnoga događaja.</w:t>
            </w:r>
          </w:p>
        </w:tc>
        <w:tc>
          <w:tcPr>
            <w:tcW w:w="9645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razrade ishoda se prati i ne podliježe vrednovanju.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349" w:type="dxa"/>
            <w:tcBorders>
              <w:top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Izdvaja što mu se sviđa ili ne sviđa u vezi s kulturnim događajem.</w:t>
            </w:r>
          </w:p>
        </w:tc>
        <w:tc>
          <w:tcPr>
            <w:tcW w:w="2368" w:type="dxa"/>
            <w:tcBorders>
              <w:top w:val="single" w:sz="6" w:space="0" w:color="000000"/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 xml:space="preserve"> izdvaja što mu se sviđa ili ne sviđa u vezi s kulturnim događajem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Kratko i uz poticaj ili prema primjeru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i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zdvaja što mu se sviđa ili ne sviđa u vezi s kulturnim događajem</w:t>
            </w:r>
          </w:p>
        </w:tc>
        <w:tc>
          <w:tcPr>
            <w:tcW w:w="28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Izdvaja što mu se sviđa ili ne sviđa u vezi s kulturnim događajem</w:t>
            </w:r>
          </w:p>
        </w:tc>
        <w:tc>
          <w:tcPr>
            <w:tcW w:w="2642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Izdvaja i jasno navodi što mu se sviđa ili ne sviđa u vezi s kulturnim događajem</w:t>
            </w:r>
          </w:p>
        </w:tc>
        <w:tc>
          <w:tcPr>
            <w:tcW w:w="269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Izdvaja, navodi i opisuje bogatim rječnikom i živopisno što mu se sviđa ili ne sviđa u vezi s kulturnim događajem</w:t>
            </w:r>
          </w:p>
        </w:tc>
      </w:tr>
      <w:tr>
        <w:trPr/>
        <w:tc>
          <w:tcPr>
            <w:tcW w:w="2349" w:type="dxa"/>
            <w:tcBorders>
              <w:top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Izražava svoj doživljaj kulturnoga događaja crtežom, slikom, govorom ili kratkim tekstom.</w:t>
            </w:r>
          </w:p>
        </w:tc>
        <w:tc>
          <w:tcPr>
            <w:tcW w:w="2368" w:type="dxa"/>
            <w:tcBorders>
              <w:top w:val="single" w:sz="6" w:space="0" w:color="000000"/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 xml:space="preserve"> izražava svoj doživljaj kulturnoga događaja crtežom, slikom, govorom ili kratkim tekstom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Uz upute i dodatno pojašnjenje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i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zražava svoj doživljaj kulturnoga događaja crtežom ili slikom,</w:t>
            </w:r>
          </w:p>
        </w:tc>
        <w:tc>
          <w:tcPr>
            <w:tcW w:w="2810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Izražava svoj doživljaj kulturnoga događaja crtežom, slikom ili kratkim tekstom. Potreban je poticaj u samostalnom izlaganju doživljaja u obliku pitanja i podsjećanja na radnju kulturnoga događaja.</w:t>
            </w:r>
          </w:p>
        </w:tc>
        <w:tc>
          <w:tcPr>
            <w:tcW w:w="2642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 izražava svoj doživljaj kulturnoga događaja crtežom, slikom.</w:t>
            </w:r>
          </w:p>
        </w:tc>
        <w:tc>
          <w:tcPr>
            <w:tcW w:w="2699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Argumentirano i maštovito  izražava svoj doživljaj kulturnoga događaja crtežom, slikom.</w:t>
            </w:r>
          </w:p>
        </w:tc>
      </w:tr>
      <w:tr>
        <w:trPr/>
        <w:tc>
          <w:tcPr>
            <w:tcW w:w="2349" w:type="dxa"/>
            <w:tcBorders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Izražava svoja zapažanja, misli i osjećaje nakon posjeta kulturnom događaju.</w:t>
            </w:r>
          </w:p>
        </w:tc>
        <w:tc>
          <w:tcPr>
            <w:tcW w:w="2368" w:type="dxa"/>
            <w:tcBorders>
              <w:left w:val="doub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 xml:space="preserve"> izražava svoja zapažanja, misli i osjećaje nakon posjeta kulturnom događaju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3008" w:type="dxa"/>
            <w:gridSpan w:val="2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Prema unaprijed postavljenim pitanjima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i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zražava svoja zapažanja, misli i osjećaje nakon posjeta kulturnom događaju.</w:t>
            </w:r>
          </w:p>
        </w:tc>
        <w:tc>
          <w:tcPr>
            <w:tcW w:w="2810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  izražava svoja zapažanja, misli i osjećaje nakon posjeta kulturnom događaju.</w:t>
            </w:r>
          </w:p>
        </w:tc>
        <w:tc>
          <w:tcPr>
            <w:tcW w:w="2642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Slobodno  izražava svoja zapažanja, misli i osjećaje nakon posjeta kulturnom događaju.</w:t>
            </w:r>
          </w:p>
        </w:tc>
        <w:tc>
          <w:tcPr>
            <w:tcW w:w="2699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Tečno, samoinicijativno i originalno  izražava svoja zapažanja, misli i osjećaje nakon posjeta kulturnom događaju.</w:t>
            </w:r>
          </w:p>
        </w:tc>
      </w:tr>
    </w:tbl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  <w:br/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Paragraph"/>
        <w:spacing w:before="280" w:after="280"/>
        <w:textAlignment w:val="baseline"/>
        <w:rPr>
          <w:rStyle w:val="Eop"/>
        </w:rPr>
      </w:pPr>
      <w:r>
        <w:rPr/>
      </w:r>
    </w:p>
    <w:p>
      <w:pPr>
        <w:pStyle w:val="Normal"/>
        <w:jc w:val="center"/>
        <w:rPr>
          <w:rFonts w:cs="Calibri" w:cstheme="minorHAnsi"/>
          <w:b/>
          <w:b/>
          <w:sz w:val="40"/>
        </w:rPr>
      </w:pPr>
      <w:r>
        <w:rPr>
          <w:rFonts w:cs="Calibri" w:cstheme="minorHAnsi"/>
          <w:b/>
          <w:sz w:val="28"/>
        </w:rPr>
        <w:t>NASTAVNI PREDMET:  LIKOVNA KULTURA</w:t>
      </w:r>
    </w:p>
    <w:p>
      <w:pPr>
        <w:pStyle w:val="Normal"/>
        <w:rPr>
          <w:rFonts w:cs="Calibri" w:cstheme="minorHAnsi"/>
          <w:i/>
          <w:i/>
          <w:sz w:val="24"/>
          <w:szCs w:val="28"/>
        </w:rPr>
      </w:pPr>
      <w:r>
        <w:rPr>
          <w:rFonts w:cs="Calibri" w:cstheme="minorHAnsi"/>
          <w:i/>
          <w:sz w:val="24"/>
          <w:szCs w:val="28"/>
        </w:rPr>
        <w:t>Učenje i poučavanje predmeta Likovna kultura u 4. razredu osnovne škole organizira se kao niz manjih ili većih cjelina vezanih uz zadane i izborne teme.</w:t>
      </w:r>
    </w:p>
    <w:p>
      <w:pPr>
        <w:pStyle w:val="Normal"/>
        <w:rPr>
          <w:rFonts w:cs="Calibri" w:cstheme="minorHAnsi"/>
          <w:b/>
          <w:b/>
          <w:i/>
          <w:i/>
          <w:sz w:val="24"/>
          <w:szCs w:val="24"/>
        </w:rPr>
      </w:pPr>
      <w:r>
        <w:rPr>
          <w:rFonts w:cs="Calibri" w:cstheme="minorHAnsi"/>
          <w:b/>
          <w:i/>
          <w:sz w:val="24"/>
          <w:szCs w:val="24"/>
        </w:rPr>
        <w:t>Zadane teme: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Slika, pokret, zvuk i riječ: učenik istražuje različite odnose između slike i priče proizašle iz osobnih doživljaja. Kao poticaj koristi igru, umjetnička djela, literarne i glazbene predloške (ispričati priču kombinacijama boja, kontrasta, ritma itd.).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Nevidljivi svijet: učenik istražuje mogućnosti likovnog i vizualnog prikazivanja nevizualnih pojavnosti (npr. ljutnja; hladnoća; brzina itd.) te to povezuje sa sadržajima ostalih predmeta. 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Umjetnost i zajednica: učenik istražuje likovno i vizualno oblikovanje kao sastavni dio života pojedinca i zajednice (prisutnost likovnog i vizualnog oblikovanja u svakodnevnom okruženju; dizajn, primijenjena umjetnost, vizualne komunikacije, kazalište, spomenici, muzeji, galerije, izložbe, ulična umjetnost).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Svijet oko mene, svijet za mene: učenik istražuje čovjekov odnos prema prirodi i izgrađenom okolišu te mogućnostima njegovog (pre)oblikovanja izražavajući se likovno ili vizualno.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  <w:b/>
          <w:b/>
          <w:bCs/>
          <w:i/>
          <w:i/>
          <w:iCs/>
        </w:rPr>
      </w:pPr>
      <w:r>
        <w:rPr>
          <w:rFonts w:cs="Calibri" w:ascii="Calibri" w:hAnsi="Calibri" w:asciiTheme="minorHAnsi" w:cstheme="minorHAnsi" w:hAnsiTheme="minorHAnsi"/>
          <w:b/>
          <w:bCs/>
          <w:i/>
          <w:iCs/>
        </w:rPr>
        <w:t>Izborne teme: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Zajedno smo različiti: učenik likovnim i vizualnim izražavanjem istražuje pripadnost skupini, vršnjacima, obitelji, zajednici i kulturnom okruženju te važnost prihvaćanja različitosti, međusobnog uvažavanja i tolerancije.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>Baština i društveno okruženje: učenik istražuje posljedice različitih prirodnih i društvenih čimbenika na djela kulturne baštine i tradicijskog oblikovanja te odnos ljudi prema očuvanju baštine (istražuje načela oblikovanja i njihovu povezanost s načinom života).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  <w:b/>
          <w:b/>
          <w:i/>
          <w:i/>
          <w:sz w:val="28"/>
          <w:szCs w:val="22"/>
        </w:rPr>
      </w:pPr>
      <w:r>
        <w:rPr>
          <w:rFonts w:cs="Calibri" w:ascii="Calibri" w:hAnsi="Calibri" w:asciiTheme="minorHAnsi" w:cstheme="minorHAnsi" w:hAnsiTheme="minorHAnsi"/>
          <w:b/>
          <w:i/>
          <w:sz w:val="28"/>
          <w:szCs w:val="22"/>
        </w:rPr>
        <w:t>Vrednovanje naučenoga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 xml:space="preserve">Vrednovanje se naučenoga provodi u skladu s ostvarenošću odgojno-obrazovnih ishoda raspoređenih u tri domene. </w:t>
      </w:r>
    </w:p>
    <w:p>
      <w:pPr>
        <w:pStyle w:val="Box459516"/>
        <w:spacing w:before="280" w:after="28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 xml:space="preserve">Domena </w:t>
      </w:r>
      <w:r>
        <w:rPr>
          <w:rFonts w:cs="Calibri" w:ascii="Calibri" w:hAnsi="Calibri" w:asciiTheme="minorHAnsi" w:cstheme="minorHAnsi" w:hAnsiTheme="minorHAnsi"/>
          <w:b/>
          <w:i/>
          <w:szCs w:val="22"/>
        </w:rPr>
        <w:t>Stvaralaštvo i produktivnost</w:t>
      </w:r>
      <w:r>
        <w:rPr>
          <w:rFonts w:cs="Calibri" w:ascii="Calibri" w:hAnsi="Calibri" w:asciiTheme="minorHAnsi" w:cstheme="minorHAnsi" w:hAnsiTheme="minorHAnsi"/>
          <w:i/>
          <w:szCs w:val="22"/>
        </w:rPr>
        <w:t xml:space="preserve"> polazište je i poveznica svih odgojno-obrazovnih ishoda te iz nje proizlaze dva elementa vrednovanja: </w:t>
      </w:r>
    </w:p>
    <w:p>
      <w:pPr>
        <w:pStyle w:val="Box459516"/>
        <w:numPr>
          <w:ilvl w:val="0"/>
          <w:numId w:val="10"/>
        </w:numPr>
        <w:spacing w:before="280" w:after="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 xml:space="preserve">stvaralaštvo (stvaralački proces) i </w:t>
      </w:r>
    </w:p>
    <w:p>
      <w:pPr>
        <w:pStyle w:val="Box459516"/>
        <w:numPr>
          <w:ilvl w:val="0"/>
          <w:numId w:val="10"/>
        </w:numPr>
        <w:spacing w:before="0" w:after="28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 xml:space="preserve">produktivnost (likovni i vizualni izraz: realizacija ideje u formi, materijalu i mediju). </w:t>
      </w:r>
    </w:p>
    <w:p>
      <w:pPr>
        <w:pStyle w:val="Box459516"/>
        <w:spacing w:before="280" w:after="28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 xml:space="preserve">Vrednovanje ishoda iz te domene predstavlja težište procjene postignuća učenika dok se vrednovanje realizacije ishoda iz drugih domena nadovezuje na nju. </w:t>
      </w:r>
    </w:p>
    <w:p>
      <w:pPr>
        <w:pStyle w:val="Box459516"/>
        <w:spacing w:before="280" w:after="28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 xml:space="preserve">Odgojno obrazovni ishodi domena </w:t>
      </w:r>
      <w:r>
        <w:rPr>
          <w:rFonts w:cs="Calibri" w:ascii="Calibri" w:hAnsi="Calibri" w:asciiTheme="minorHAnsi" w:cstheme="minorHAnsi" w:hAnsiTheme="minorHAnsi"/>
          <w:b/>
          <w:i/>
          <w:szCs w:val="22"/>
        </w:rPr>
        <w:t>Doživljaj i kritički stav</w:t>
      </w:r>
      <w:r>
        <w:rPr>
          <w:rFonts w:cs="Calibri" w:ascii="Calibri" w:hAnsi="Calibri" w:asciiTheme="minorHAnsi" w:cstheme="minorHAnsi" w:hAnsiTheme="minorHAnsi"/>
          <w:i/>
          <w:szCs w:val="22"/>
        </w:rPr>
        <w:t xml:space="preserve"> te </w:t>
      </w:r>
      <w:r>
        <w:rPr>
          <w:rFonts w:cs="Calibri" w:ascii="Calibri" w:hAnsi="Calibri" w:asciiTheme="minorHAnsi" w:cstheme="minorHAnsi" w:hAnsiTheme="minorHAnsi"/>
          <w:b/>
          <w:i/>
          <w:szCs w:val="22"/>
        </w:rPr>
        <w:t>Umjetnost u kontekstu</w:t>
      </w:r>
      <w:r>
        <w:rPr>
          <w:rFonts w:cs="Calibri" w:ascii="Calibri" w:hAnsi="Calibri" w:asciiTheme="minorHAnsi" w:cstheme="minorHAnsi" w:hAnsiTheme="minorHAnsi"/>
          <w:i/>
          <w:szCs w:val="22"/>
        </w:rPr>
        <w:t xml:space="preserve"> vrednuju se zajedno. U prvoj i drugoj godini učenja veća se važnost u vrednovanju elementa kritičko mišljenje i kontekst daje doživljaju, a od trećeg do osmog razreda razvoju kritičkoga mišljenja i povezivanju stvaralačkoga procesa s različitim kontekstima. </w:t>
      </w:r>
    </w:p>
    <w:p>
      <w:pPr>
        <w:pStyle w:val="Box459516"/>
        <w:spacing w:before="280" w:after="280"/>
        <w:jc w:val="both"/>
        <w:rPr>
          <w:rFonts w:ascii="Calibri" w:hAnsi="Calibri" w:cs="Calibri" w:asciiTheme="minorHAnsi" w:cstheme="minorHAnsi" w:hAnsiTheme="minorHAnsi"/>
          <w:b/>
          <w:b/>
          <w:i/>
          <w:i/>
          <w:sz w:val="28"/>
          <w:szCs w:val="22"/>
        </w:rPr>
      </w:pPr>
      <w:r>
        <w:rPr>
          <w:rFonts w:cs="Calibri" w:ascii="Calibri" w:hAnsi="Calibri" w:asciiTheme="minorHAnsi" w:cstheme="minorHAnsi" w:hAnsiTheme="minorHAnsi"/>
          <w:b/>
          <w:i/>
          <w:sz w:val="28"/>
          <w:szCs w:val="22"/>
        </w:rPr>
        <w:t>Elementi ocjenjivanja i vrednovanja od prvog do četvrtog razreda osnovne škole uključuju:</w:t>
      </w:r>
    </w:p>
    <w:p>
      <w:pPr>
        <w:pStyle w:val="Box459516"/>
        <w:numPr>
          <w:ilvl w:val="1"/>
          <w:numId w:val="11"/>
        </w:numPr>
        <w:spacing w:before="280" w:after="0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stvaralaštvo (stvaralački proces)</w:t>
      </w:r>
    </w:p>
    <w:p>
      <w:pPr>
        <w:pStyle w:val="Box459516"/>
        <w:numPr>
          <w:ilvl w:val="1"/>
          <w:numId w:val="11"/>
        </w:numPr>
        <w:spacing w:before="0" w:after="0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stvaranje udaljenih asocijacija (izbjegavanje šablonskih i stereotipnih prikaza)</w:t>
      </w:r>
    </w:p>
    <w:p>
      <w:pPr>
        <w:pStyle w:val="Box459516"/>
        <w:numPr>
          <w:ilvl w:val="1"/>
          <w:numId w:val="11"/>
        </w:numPr>
        <w:spacing w:before="0" w:after="280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prepoznaje učinjeno i na temelju toga poduzima sljedeće korake.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Načini praćenja su: diskusija, skice, bilješke (razrada procesa izvedbe), likovni ili vizualni rad.</w:t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Style w:val="Eop"/>
          <w:rFonts w:cs="Calibri" w:ascii="Calibri" w:hAnsi="Calibri" w:asciiTheme="minorHAnsi" w:cstheme="minorHAnsi" w:hAnsiTheme="minorHAnsi"/>
          <w:b/>
          <w:sz w:val="28"/>
        </w:rPr>
        <w:t>Tekst u kurzivu je u cijelosti preuzet iz Kurikuluma za Likovnu kulturu.</w:t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cstheme="minorHAnsi" w:ascii="Calibri" w:hAnsi="Calibri"/>
          <w:i/>
          <w:szCs w:val="22"/>
        </w:rPr>
      </w:r>
    </w:p>
    <w:p>
      <w:pPr>
        <w:pStyle w:val="Box459484"/>
        <w:spacing w:before="280" w:after="280"/>
        <w:ind w:firstLine="360"/>
        <w:rPr>
          <w:rStyle w:val="Kurziv"/>
          <w:rFonts w:ascii="Calibri" w:hAnsi="Calibri" w:cs="Calibri" w:asciiTheme="minorHAnsi" w:cstheme="minorHAnsi" w:hAnsiTheme="minorHAnsi"/>
        </w:rPr>
      </w:pPr>
      <w:r>
        <w:rPr>
          <w:rStyle w:val="Kurziv"/>
          <w:rFonts w:cs="Calibri" w:ascii="Calibri" w:hAnsi="Calibri" w:asciiTheme="minorHAnsi" w:cstheme="minorHAnsi" w:hAnsiTheme="minorHAnsi"/>
        </w:rPr>
        <w:t xml:space="preserve">Praksa je pokazala da u nastavnom predmetu Likovna kultura učenici ostvaruju zadane ishode na najmanjoj razini ocjene dobar, stoga je, u navedene tri domene i napravljeno razvrstavanje postignuća od ocjene odličan do ocjene dobar. </w:t>
      </w:r>
    </w:p>
    <w:p>
      <w:pPr>
        <w:pStyle w:val="Normal"/>
        <w:ind w:firstLine="360"/>
        <w:jc w:val="both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  <w:t>U</w:t>
      </w:r>
      <w:r>
        <w:rPr>
          <w:rFonts w:cs="Calibri" w:cstheme="minorHAnsi"/>
          <w:sz w:val="24"/>
        </w:rPr>
        <w:t xml:space="preserve">čitelj samostalno uvede i treći element ocjenjivanja i da taj element bude: </w:t>
      </w:r>
      <w:r>
        <w:rPr>
          <w:rFonts w:cs="Calibri" w:cstheme="minorHAnsi"/>
          <w:b/>
          <w:sz w:val="24"/>
        </w:rPr>
        <w:t>Odgojni učinci rada</w:t>
      </w:r>
      <w:r>
        <w:rPr>
          <w:rFonts w:cs="Calibri" w:cstheme="minorHAnsi"/>
          <w:sz w:val="24"/>
        </w:rPr>
        <w:t xml:space="preserve"> u kojemu će se vrednovati učenički  odnos prema aktivnosti i njihova uključenost u iste</w:t>
      </w:r>
      <w:r>
        <w:rPr>
          <w:rFonts w:cs="Calibri" w:cstheme="minorHAnsi"/>
          <w:sz w:val="28"/>
        </w:rPr>
        <w:t xml:space="preserve">. </w:t>
      </w:r>
      <w:r>
        <w:rPr>
          <w:rFonts w:cs="Calibri" w:cstheme="minorHAnsi"/>
          <w:sz w:val="24"/>
        </w:rPr>
        <w:t>U tom elementu učenik može ostvariti ocjene od odličan do nedovoljan.</w:t>
      </w:r>
    </w:p>
    <w:p>
      <w:pPr>
        <w:pStyle w:val="Normal"/>
        <w:ind w:firstLine="360"/>
        <w:jc w:val="both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ind w:firstLine="360"/>
        <w:jc w:val="both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ind w:firstLine="360"/>
        <w:jc w:val="both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Box459516"/>
        <w:spacing w:before="280" w:after="280"/>
        <w:rPr>
          <w:rFonts w:ascii="Calibri" w:hAnsi="Calibri" w:cs="Calibri" w:asciiTheme="minorHAnsi" w:cstheme="minorHAnsi" w:hAnsiTheme="minorHAnsi"/>
          <w:szCs w:val="22"/>
        </w:rPr>
      </w:pPr>
      <w:r>
        <w:rPr>
          <w:rFonts w:cs="Calibri" w:cstheme="minorHAnsi" w:ascii="Calibri" w:hAnsi="Calibri"/>
          <w:szCs w:val="22"/>
        </w:rPr>
      </w:r>
    </w:p>
    <w:tbl>
      <w:tblPr>
        <w:tblStyle w:val="TableGrid1"/>
        <w:tblpPr w:bottomFromText="0" w:horzAnchor="text" w:leftFromText="180" w:rightFromText="180" w:tblpX="-998" w:tblpY="1" w:topFromText="0" w:vertAnchor="text"/>
        <w:tblW w:w="1601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1" w:lastColumn="0" w:noHBand="0" w:val="0480"/>
      </w:tblPr>
      <w:tblGrid>
        <w:gridCol w:w="3119"/>
        <w:gridCol w:w="4246"/>
        <w:gridCol w:w="4111"/>
        <w:gridCol w:w="4536"/>
      </w:tblGrid>
      <w:tr>
        <w:trPr/>
        <w:tc>
          <w:tcPr>
            <w:tcW w:w="16012" w:type="dxa"/>
            <w:gridSpan w:val="4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color w:val="C00000"/>
                <w:sz w:val="28"/>
              </w:rPr>
            </w:pP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STVARALAŠTVO I PRODUKTIVNOST</w:t>
            </w:r>
          </w:p>
        </w:tc>
      </w:tr>
      <w:tr>
        <w:trPr/>
        <w:tc>
          <w:tcPr>
            <w:tcW w:w="16012" w:type="dxa"/>
            <w:gridSpan w:val="4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8"/>
                <w:szCs w:val="28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LK A.4.1. Učenik likovnim i vizualnim izražavanjem interpretira različite sadržaje.</w:t>
            </w:r>
          </w:p>
        </w:tc>
      </w:tr>
      <w:tr>
        <w:trPr/>
        <w:tc>
          <w:tcPr>
            <w:tcW w:w="3119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u stvaralačkom procesu i izražavanju: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- koristi likovni jezik (obvezni pojmovi likovnog jezika i oni za koje učitelj smatra da mu mogu pomoći pri realizaciji ideje u određenom zadatku)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- koristi iskustvo usmjerenog opažanja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- koristi doživljaj temeljen na osjećajima, iskustvu, mislima i informacijama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slobodne asocijacije te razlikuje doslovne (stereotipi i šablone) i udaljene slobodne asocijacije (originalna rješenja i ideje).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u stvaralačkom procesu i izražavanju uz pomoć učitelja :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-koristi likovni jezik (neke od glavnih pojmova i isključivo uz pomoć učitelja: 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Raster točaka i crta.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Ćistoća boje; nijanse boja (vrsta, ton, čistoća); simbolika i asocijativnost boja.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Različite vrste površina (umjetnička djela i okolina).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Različiti odnosi mase i prostora: linijski i plošno istanjena masa.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Kontrast kromatsko – akromatsko.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Jedinstvo.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Kompozicija i rekompozicija na plohi i u prostoru.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Zrcaljenje likova i tijela.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- koristi iskustvo usmjerenog opažanja uz jasnu i detaljnu uputu te rad korak po korak.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u stvaralačkom procesu i izražavanju uz povremeno posredovanje učitelja: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- koristi likovni jezik (vlada većinom likovnih pojmova: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Raster točaka i crta.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Ćistoća boje; nijanse boja (vrsta, ton, čistoća); simbolika i asocijativnost boja.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Različite vrste površina (umjetnička djela i okolina).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Različiti odnosi mase i prostora: linijski i plošno istanjena masa.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Kontrast kromatsko – akromatsko.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Jedinstvo.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Kompozicija i rekompozicija na plohi i u prostoru.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Zrcaljenje likova i tijela.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- koristi iskustvo usmjerenog opažanja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- koristi doživljaj temeljen na osjećajima, iskustvu, mislima i informacijama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u stvaralačkom procesu i izražavanju samostalno i slobodno 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eastAsia="hr-HR" w:bidi="ar-SA"/>
              </w:rPr>
              <w:t>-koristi likovni jezik (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Raster točaka i crta.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Ćistoća boje; nijanse boja (vrsta, ton, čistoća); simbolika i asocijativnost boja.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Različite vrste površina (umjetnička djela i okolina).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Različiti odnosi mase i prostora: linijski i plošno istanjena masa.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Kontrast kromatsko – akromatsko.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Jedinstvo.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Kompozicija i rekompozicija na plohi i u prostoru.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Zrcaljenje likova i tijela.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- koristi iskustvo usmjerenog opažanja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- koristi doživljaj temeljen na osjećajima, iskustvu, mislima i informacijama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slobodne asocijacije te razlikuje doslovne (stereotipi i šablone) i udaljene slobodne asocijacije (originalna rješenja i ideje).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Učenik, u stvaralačkom procesu i izražavanju koristi likovni jezik tako da kreće od doživljaja cjeline prema detalju.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Obvezni likovni pojmovi: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Različiti načini grupiranja točaka i crta (rasteri, skupljeno i raspršeno).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Čistoća boje; valeri boja; simbolika i asocijativnost boja. Nijanse boje.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Različite vrste površina (umjetnička djela i okolina).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Različiti odnosi mase i prostora.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Kromatsko – akromatski kontrast.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Jedinstvo. Dominacija.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Kompozicija i rekompozicija na plohi i u prostoru.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odgovara likovnim i vizualnim izražavanjem na razne vrste poticaja: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osobni sadržaji (osjećaji, misli, iskustva, stavovi i vrijednosti)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sadržaji likovne/vizualne umjetnosti ili sadržaji/izraz drugih umjetničkih područja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sadržaji iz svakodnevnog života i neposredne okoline (informacije).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Učenik, u stvaralačkom procesu i izražavanju povremeno samostalno koristi likovni jezik tako da kreće od doživljaja cjeline prema detalju.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Učenik reproducira neke od obveznim likovnih pojmova, s tim da je u nekima manje uspješan te traži ili treba pomoć učitelja: 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(Napomena: učitelj razvrstava navedene pojmove prema temi i likovnom zadatku koji taj sat obrađuje te ga tako onda i opisno prati: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Različiti načini grupiranja točaka i crta (rasteri, skupljeno i raspršeno).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Čistoća boje; valeri boja; simbolika i asocijativnost boja. Nijanse boje.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Različite vrste površina (umjetnička djela i okolina).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Različiti odnosi mase i prostora.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Kromatsko – akromatski kontrast.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Jedinstvo. Dominacija.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both"/>
              <w:rPr>
                <w:rFonts w:eastAsia="Times New Roman" w:cs="Calibri" w:cstheme="minorHAnsi"/>
                <w:i/>
                <w:i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Kompozicija i rekompozicija na plohi i u prostoru.)</w:t>
            </w:r>
          </w:p>
          <w:p>
            <w:pPr>
              <w:pStyle w:val="Normal"/>
              <w:widowControl/>
              <w:spacing w:lineRule="auto" w:line="240" w:before="0" w:after="0"/>
              <w:ind w:left="79" w:hanging="0"/>
              <w:jc w:val="both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odgovara likovnim i vizualnim izražavanjem na samo neke vrste poticaja, često pokazuje nesigurnost u novim i do sada nepoznatim poticajima te pribjegava odabiru onog poticaja i tehnike u kojoj je relativno siguran:</w:t>
            </w:r>
          </w:p>
          <w:p>
            <w:pPr>
              <w:pStyle w:val="Normal"/>
              <w:widowControl/>
              <w:spacing w:lineRule="auto" w:line="240" w:before="0" w:after="0"/>
              <w:ind w:left="79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osobni sadržaji (osjećaji, misli, iskustva, stavovi i vrijednosti)</w:t>
            </w:r>
          </w:p>
          <w:p>
            <w:pPr>
              <w:pStyle w:val="Normal"/>
              <w:widowControl/>
              <w:spacing w:lineRule="auto" w:line="240" w:before="0" w:after="0"/>
              <w:ind w:left="79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sadržaji likovne/vizualne umjetnosti ili sadržaji/izraz drugih umjetničkih područja</w:t>
            </w:r>
          </w:p>
          <w:p>
            <w:pPr>
              <w:pStyle w:val="Normal"/>
              <w:widowControl/>
              <w:spacing w:lineRule="auto" w:line="240" w:before="0" w:after="0"/>
              <w:ind w:left="79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sadržaji iz svakodnevnog života i neposredne okoline (informacije).</w:t>
            </w:r>
          </w:p>
        </w:tc>
        <w:tc>
          <w:tcPr>
            <w:tcW w:w="4111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Učenik, u stvaralačkom procesu i izražavanju većinom samostalno i uspješno koristi likovni jezik tako da kreće od doživljaja cjeline prema detalju.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Učenik je slobodan u samostalnom izražavanju te vlada većinom likovnih pojmova uspješno i jasno: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(Napomena: učitelj razvrstava navedene pojmove prema temi i likovnom zadatku koji taj sat obrađuje te ga tako onda i opisno prati: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Različiti načini grupiranja točaka i crta (rasteri, skupljeno i raspršeno).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Čistoća boje; valeri boja; simbolika i asocijativnost boja. Nijanse boje.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Različite vrste površina (umjetnička djela i okolina).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Različiti odnosi mase i prostora.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Kromatsko – akromatski kontrast.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Jedinstvo. Dominacija.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Kompozicija i rekompozicija na plohi i u prostoru.)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Učenik odgovara likovnim i vizualnim izražavanjem na većinu vrsta poticaja: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– 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osobni sadržaji (osjećaji, misli, iskustva, stavovi i vrijednosti)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– 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sadržaji likovne/vizualne umjetnosti ili sadržaji/izraz drugih umjetničkih područja</w:t>
            </w:r>
          </w:p>
          <w:p>
            <w:pPr>
              <w:pStyle w:val="ListParagraph"/>
              <w:widowControl/>
              <w:spacing w:lineRule="auto" w:line="240" w:before="0" w:after="0"/>
              <w:ind w:left="32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– 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sadržaji iz svakodnevnog života i neposredne okoline (informacije).</w:t>
            </w:r>
          </w:p>
          <w:p>
            <w:pPr>
              <w:pStyle w:val="ListParagraph"/>
              <w:widowControl/>
              <w:spacing w:lineRule="auto" w:line="240" w:before="0" w:after="0"/>
              <w:ind w:left="319" w:hanging="0"/>
              <w:contextualSpacing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Učenik, u stvaralačkom procesu i izražavanju u potpunosti koristi likovni jezik tako da kreće od doživljaja cjeline prema detalju.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Učenik vješto i suvereno vlada obveznim likovnim pojmovima, primjenjuje stečena znanja pri analizi reprodukcija ili pri analizi likovnih uradaka suučenika i svog likovnog uratka: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(Napomena: učitelj razvrstava navedene pojmove prema temi i likovnom zadatku koji taj sat obrađuje te ga tako onda i opisno prati: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Različiti načini grupiranja točaka i crta (rasteri, skupljeno i raspršeno).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Čistoća boje; valeri boja; simbolika i asocijativnost boja. Nijanse boje.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Različite vrste površina (umjetnička djela i okolina).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Različiti odnosi mase i prostora.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Kromatsko – akromatski kontrast.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Jedinstvo. Dominacija.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kern w:val="0"/>
                <w:sz w:val="24"/>
                <w:szCs w:val="24"/>
                <w:lang w:val="hr-HR" w:eastAsia="en-US" w:bidi="ar-SA"/>
              </w:rPr>
              <w:t>Kompozicija i rekompozicija na plohi i u prostoru.)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Učenik samoinicijativno i samouvjereno odgovara likovnim i vizualnim izražavanjem na razne vrste poticaja: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– 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osobni sadržaji (osjećaji, misli, iskustva, stavovi i vrijednosti)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– 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sadržaji likovne/vizualne umjetnosti ili sadržaji/izraz drugih umjetničkih područja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– 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sadržaji iz svakodnevnog života i neposredne okoline (informacije).</w:t>
            </w:r>
          </w:p>
        </w:tc>
      </w:tr>
      <w:tr>
        <w:trPr/>
        <w:tc>
          <w:tcPr>
            <w:tcW w:w="16012" w:type="dxa"/>
            <w:gridSpan w:val="4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ISHOD: OŠ LK A.4.2. Učenik demonstrira fine motoričke vještine upotrebom različitih likovnih materijala i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postupaka u vlastitom likovnom izražavanju.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3119" w:type="dxa"/>
            <w:tcBorders>
              <w:bottom w:val="nil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istražuje likovne materijale i postupke u svrhu izrade likovnog uratka.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24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povremeno istražuje neke likovne materijale i postupke u svrhu izrade svog likovnog uratka. Za neke postupke i materijale traži upute i pojašnjenja. U radu je češće neprecizan, sklon kopiranju i neoriginalnosti, ali na poticaj i dodatne upute pri radu, reagira pozitivno i pušta maštovitost u radu.</w:t>
            </w:r>
          </w:p>
        </w:tc>
        <w:tc>
          <w:tcPr>
            <w:tcW w:w="4111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je većinom slobodan u istraživanju likovnih materijala i postupaka u ostvarenju svoga likovnoga rada, s tim da ponekad traži dodatna pojašnjenja u vezi nekih likovnih materijala ili postupaka. U radu je većinom dosljedan, precizan i originalan.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en-US" w:eastAsia="hr-HR" w:bidi="ar-SA"/>
              </w:rPr>
              <w:t>Učenik samostalno istražuje i koristi  likovne materijale i postupke u svrhu izrade svog likovnog rada. Istražuje postupke, vrste  i mogućnosti rada s raznim tehnikama. U radu je izuzetno precizan, dosljedan, maštovit i originalan.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3119" w:type="dxa"/>
            <w:tcBorders>
              <w:bottom w:val="nil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i izražava osobitosti likovnih materijala i postupaka pri njihovoj upotrebi.</w:t>
            </w:r>
          </w:p>
        </w:tc>
        <w:tc>
          <w:tcPr>
            <w:tcW w:w="424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 ili prema primjeru uočava osobitosti nekih likovnih materijala i postupaka pri njihovoj upotrebi,  ali se sigurnije i slobodnije izražava u samo određenim materijalima i postupcima.</w:t>
            </w:r>
          </w:p>
        </w:tc>
        <w:tc>
          <w:tcPr>
            <w:tcW w:w="4111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Učenik/ca uočava i izražava osobitosti likovnih materijala i postupaka pri njihovoj upotrebi, dajući prednost materijalima i postupcima s kojima se do sada susretao/la.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Uočava, izražava, ali i opisuje osobitosti likovnih materijala i postupaka pri njihovoj upotrebi. </w:t>
            </w:r>
          </w:p>
        </w:tc>
      </w:tr>
      <w:tr>
        <w:trPr/>
        <w:tc>
          <w:tcPr>
            <w:tcW w:w="3119" w:type="dxa"/>
            <w:tcBorders>
              <w:bottom w:val="nil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Demonstrira fine motoričke vještine (preciznost, usredotočenje, koordinacija prstiju i očiju, sitni pokreti).</w:t>
            </w:r>
          </w:p>
        </w:tc>
        <w:tc>
          <w:tcPr>
            <w:tcW w:w="424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radu češće demonstrira nepreciznost i slabiju usredotočenost. Teže koordinira pokretima prstiju i očiju, kao i sitnim pokretima.</w:t>
            </w:r>
          </w:p>
        </w:tc>
        <w:tc>
          <w:tcPr>
            <w:tcW w:w="4111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radu većinom  demonstrira fine motoričke vještine: preciznost, usredotočenost, koordinacija prstiju i očiju te sitni pokreti.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S lakoćom demonstrira fine motoričke vještine: preciznost, usredotočenost, koordinacija prstiju i očiju te sitni pokreti. </w:t>
            </w:r>
          </w:p>
        </w:tc>
      </w:tr>
      <w:tr>
        <w:trPr/>
        <w:tc>
          <w:tcPr>
            <w:tcW w:w="3119" w:type="dxa"/>
            <w:tcBorders>
              <w:bottom w:val="nil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koristi neke od predloženih likovnih materijala i tehnika: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Crtački: olovka, ugljen, kreda, flomaster, tuš, pero, kist, lavirani tuš.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Slikarski: akvarel, gvaš, tempere, pastel, flomasteri, kolaž papir, kolaž iz časopisa.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Prostorno-plastički: glina, glinamol, papir-plastika, ambalaža i drugi materijali, aluminijska folija, kaširani papir (papir mâšé), žica.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Grafički: monotipija, kartonski tisak.</w:t>
            </w:r>
          </w:p>
        </w:tc>
        <w:tc>
          <w:tcPr>
            <w:tcW w:w="424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samostalno koristi samo neke od predloženih likovnih materijala i tehnika: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Crtački: olovka, ugljen, kreda, flomaster, tuš, pero, kist, lavirani tuš., ali i za njihovu primjenu i uporabu traži pojašnjenja.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Slikarski: akvarel, gvaš, tempere, pastel, flomasteri, kolaž papir, kolaž iz časopisa.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Ostale predložene likovne materijale i tehnike koristi uz objašnjenja i upute te prilično nesigurno: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Prostorno-plastički: glina, glinamol, papir-plastika, ambalaža i drugi materijali, aluminijska folija, kaširani papir (papir mâšé), žica.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Grafički: monotipija, kartonski tisak.</w:t>
            </w:r>
          </w:p>
        </w:tc>
        <w:tc>
          <w:tcPr>
            <w:tcW w:w="4111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koristi neke od predloženih likovnih materijala i tehnika slobodno, ali povremeno uz dodatni poticaj: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Crtački: olovka, ugljen, kreda, flomaster, tuš, pero, kist, lavirani tuš.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Slikarski: akvarel, gvaš, tempere, pastel, flomasteri, kolaž papir, kolaž iz časopisa.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Prostorno-plastički: glina, glinamol, papir-plastika, ambalaža i drugi materijali, aluminijska folija, kaširani papir (papir mâšé), žica.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Grafički: monotipija, kartonski tisak.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koristi gotovo sve od predloženih likovnih materijala i tehnika pravilno i samouvjereno: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Crtački: olovka, ugljen, kreda, flomaster, tuš, pero, kist, lavirani tuš.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Slikarski: akvarel, gvaš, tempere, pastel, flomasteri, kolaž papir, kolaž iz časopisa.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Prostorno-plastički: glina, glinamol, papir-plastika, ambalaža i drugi materijali, aluminijska folija, kaširani papir (papir mâšé), žica.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Grafički: monotipija, kartonski tisak.</w:t>
            </w:r>
          </w:p>
        </w:tc>
      </w:tr>
      <w:tr>
        <w:trPr/>
        <w:tc>
          <w:tcPr>
            <w:tcW w:w="16012" w:type="dxa"/>
            <w:gridSpan w:val="4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LK A.4.3. Učenik u vlastitome radu koristi tehničke i izražajne mogućnosti novomedijskih tehnologija.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3119" w:type="dxa"/>
            <w:tcBorders>
              <w:bottom w:val="nil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digitalnim fotoaparatom (digitalni fotoaparat, pametni telefon) bilježi sadržaje iz okoline koristeći znanje o likovnom jeziku i drugim likovnim pojmovima;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zabilježene sadržaje interpretira u vlastitom vizualnom radu.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Kadar; plan; kompozicija i neki od likovnih pojmova predviđenih ishodom A.4.1.</w:t>
            </w:r>
          </w:p>
        </w:tc>
        <w:tc>
          <w:tcPr>
            <w:tcW w:w="424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točno određene, jasne i kratke zadatke (fotografiraj dio zadane cjeline, spremi fotografiju u zadanom obliku, usporedi cjelinu i fotografirani dio, i slično) učenik fotografira pametnim telefonom određeni kadar i cjelinu (koje je taj kadar dio) te uz pomoć i dodatno pojašnjenje prikazuje isto na svome likovnome radu stvarajući vezu između digitalnog uratka i vlastitoga.</w:t>
            </w:r>
          </w:p>
        </w:tc>
        <w:tc>
          <w:tcPr>
            <w:tcW w:w="4111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Prema određenim zadacima i koracima učenik bilježi sadržaje iz okoline pametnim telefonom (upute prije rada) s tim da su pojmovi poput kadra, fotodokumentiranje i slično, ranije obrađeni i jasni. Tako zabilježene sadržaje i njihove osobitosti primjenjuje na likovnome radu (strip, kadar, cjelina).</w:t>
            </w:r>
          </w:p>
        </w:tc>
        <w:tc>
          <w:tcPr>
            <w:tcW w:w="4536" w:type="dxa"/>
            <w:tcBorders>
              <w:bottom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Pokazuje sklonost digitalnim medijima i primjeni istih u likovnome radu: digitalnim fotoaparatom (digitalni fotoaparat, pametni telefon) bilježi sadržaje iz okoline koristeći znanje o likovnom jeziku i drugim likovnim pojmovima. Tako zabilježene sadržaje interpretira u vlastitom vizualnom radu. (Kadar; plan; kompozicija i neki od likovnih pojmova predviđenih ishodom A.4.1.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- pokazuje razumijevanje pojma kadar, primjenjuje ga fotodokumentiranjem nekim medijem i primjenjuje isto na likovnome radu).</w:t>
            </w:r>
          </w:p>
        </w:tc>
      </w:tr>
      <w:tr>
        <w:trPr/>
        <w:tc>
          <w:tcPr>
            <w:tcW w:w="16012" w:type="dxa"/>
            <w:gridSpan w:val="4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color w:val="C00000"/>
                <w:sz w:val="28"/>
              </w:rPr>
            </w:pP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DOŽIVLJAJ I KRITIČKI STAV</w:t>
            </w:r>
          </w:p>
        </w:tc>
      </w:tr>
      <w:tr>
        <w:trPr/>
        <w:tc>
          <w:tcPr>
            <w:tcW w:w="16012" w:type="dxa"/>
            <w:gridSpan w:val="4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ISHOD: OŠ LK B.4.1. Učenik analizira likovno i vizualno umjetničko djelo povezujući osobni doživljaj, 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cs="Calibri" w:cstheme="minorHAnsi"/>
                <w:b/>
                <w:b/>
                <w:sz w:val="28"/>
                <w:szCs w:val="28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likovni jezik i tematski sadržaj djela.</w:t>
            </w:r>
          </w:p>
        </w:tc>
      </w:tr>
      <w:tr>
        <w:trPr/>
        <w:tc>
          <w:tcPr>
            <w:tcW w:w="3119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osobni doživljaj djela i povezuje ga s vlastitim osjećajima, iskustvom i mislima.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osobni doživljaj djela koristeći siromašniji rječnik vezano za likovne pojmove, tek uz poticaj ga povezuje s vlastitim dojmovima.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osobni doživljaj djela i povezuje ga s vlastitim osjećajima  i mislima.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živopisno opisuje osobni doživljaj djela i povezuje ga s vlastitim osjećajima, iskustvom i mislima, često koristeći likovni rječnik.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materijale i postupke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likovne elemente i kompozicijska načela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tematski sadržaj djela (motiv, teme, asocijacije).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većinom opisuje materijale i postupke, a likovne elemente i kompozicijska načela, kao i tematski sadržaj djela prepoznaje uz predložak ili nakon primjera suučenika.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samostalno opisuje materijale i postupke te tematski sadržaj djela (motiv, teme i asocijacije), dok pri opisu likovnih elemenata i kompozicijskih načela traži sugestiju i pomoć.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i točno opisuje: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materijale i postupke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likovne elemente i kompozicijska načela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tematski sadržaj djela (motiv, teme, asocijacije).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Učenik upoznaje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 istražuje djela i različite oblike izražavanja iz područja likovnih i vizualnih umjetnosti: crtež, slikarstvo, skulptura, grafika, vizualne komunikacije i dizajn (grafički), arhitektura i urbanizam, fotografija, film (igrani i animirani), strip.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Tijekom 3. i 4. godine učenja u neposrednome susretu, u stvarnome prostoru, učenik upoznaje i istražuje barem jedan od navedenih tipova spomenika: skulptura u javnome prostoru, elementi grada i sela, lokaliteta ili pojedinačnih arhitektonskih objekata.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 različite oblike izražavanja iz područja likovnih i vizualnih umjetnosti: crtež, slikarstvo, skulptura, grafika, vizualne komunikacije i dizajn (grafički), arhitektura i urbanizam, fotografija, film (igrani i animirani), strip, ali ih samostalno rjeđe istražuje.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Kroz izložbe i izvanučioničku/terensku nastavu  učenik prepoznaje barem jedan od navedenih tipova spomenika: skulptura u javnome prostoru, elementi grada i sela, lokaliteta ili pojedinačnih arhitektonskih objekata.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Učenik prepoznaje, upoznaje  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 povremeno istražuje djela i različite oblike izražavanja iz područja likovnih i vizualnih umjetnosti: crtež, slikarstvo, skulptura, grafika, vizualne komunikacije i dizajn (grafički), arhitektura i urbanizam, fotografija, film (igrani i animirani), strip.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Kroz izložbe i izvanučioničku/terensku nastavu  učenik upoznaje i uz poticaj istražuje barem jedan od navedenih tipova spomenika: skulptura u javnome prostoru, elementi grada i sela, lokaliteta ili pojedinačnih arhitektonskih objekata.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s lakoćom i kreativnošću prepoznaje, upoznaje, istražuje i opisuje djela i različite oblike izražavanja iz područja likovnih i vizualnih umjetnosti: crtež, slikarstvo, skulptura, grafika, vizualne komunikacije i dizajn (grafički), arhitektura i urbanizam, fotografija, film (igrani i animirani), strip.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Kroz izložbe i izvanučioničku/terensku nastavu  učenik upoznaje, istražuje i opisuje barem jedan od navedenih tipova spomenika: skulptura u javnome prostoru, elementi grada i sela, lokaliteta ili pojedinačnih arhitektonskih objekata.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16012" w:type="dxa"/>
            <w:gridSpan w:val="4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ISHOD: OŠ LK B.4.2. Učenik opisuje i uspoređuje svoj likovni ili vizualni rad i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radove drugih učenika te opisuje vlastiti doživljaj stvaranja.</w:t>
            </w:r>
          </w:p>
        </w:tc>
      </w:tr>
      <w:tr>
        <w:trPr/>
        <w:tc>
          <w:tcPr>
            <w:tcW w:w="3119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i uspoređuje likovne ili vizualne radove prema kriterijima: likovnog jezika, likovnih materijala, tehnika i/ili vizualnih medija, prikaza tema i motiva te originalnosti i uloženog truda.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1" w:hanging="32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likovne ili vizualne radove prema nekima od kriterijima: likovnog jezika, likovnih materijala, tehnika i/ili vizualnih medija, prikaza tema i motiva te originalnosti i uloženog truda. Rjeđe opisuje više kriterija odjednom, sigurniji/a je pri opisu likovnih radova jednim kriterijem, uz to traži podršku i povratnu informaciju.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i uz pomoć ili prema primjeru uspoređuje likovne ili vizualne radove prema kriterijima: likovnog jezika, likovnih materijala, tehnika i/ili vizualnih medija, prikaza tema i motiva te originalnosti i uloženog truda.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i uspoređuje likovne ili vizualne radove prema kriterijima: likovnog jezika, likovnih materijala, tehnika i/ili vizualnih medija, prikaza tema i motiva te originalnosti i uloženog truda točno i precizno kombinirajući nekoliko kriterija odjednom.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poticaj, osnovnu ideju/poruku te način na koji je to izraženo u likovnom ili vizualnom radu.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Autospacing="1" w:afterAutospacing="1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poticaj, osnovnu ideju/poruku te način na koji je to izraženo u likovnom ili vizualnom radu.</w:t>
            </w:r>
          </w:p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Autospacing="1" w:afterAutospacing="1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i objašnjava poticaj, osnovnu ideju/poruku te način na koji je to izraženo u likovnom ili vizualnom radu.</w:t>
            </w:r>
          </w:p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prepoznaje, objašnjava i opisuje poticaj, osnovnu ideju/poruku te način na koji je to izraženo u likovnom ili vizualnom radu i kritički promišlja jednako o svome likovnome radu, kao i o radovima suučenika.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i opisuje kako je zadani likovni/vizualni problem moguće riješiti na više (jednakovrijednih) načina.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Autospacing="1" w:afterAutospacing="1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kako je zadani likovni/vizualni problem moguće riješiti na više (jednakovrijednih) načina uz poticaj ili predložak nekih načina.</w:t>
            </w:r>
          </w:p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Autospacing="1" w:afterAutospacing="1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i opisuje kako je zadani likovni/vizualni problem moguće riješiti na više (jednakovrijednih) načina uz manji poticaj ili dopunu.</w:t>
            </w:r>
          </w:p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Autospacing="1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i opisuje kako je zadani likovni/vizualni problem moguće riješiti na više (jednakovrijednih) načina, svojim kreativnim pristupom odstupa od standardnih predložaka.</w:t>
            </w:r>
          </w:p>
        </w:tc>
      </w:tr>
      <w:tr>
        <w:trPr/>
        <w:tc>
          <w:tcPr>
            <w:tcW w:w="3119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razinu osobnog zadovoljstva u stvaralačkom procesu.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razinu osobnog zadovoljstva u stvaralačkom procesu.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i opisuje razinu osobnog zadovoljstva u stvaralačkom procesu.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prepoznaje, opisuje i povezuje razinu osobnog zadovoljstva u stvaralačkom procesu s likovnim izričajem.</w:t>
            </w:r>
          </w:p>
        </w:tc>
      </w:tr>
      <w:tr>
        <w:trPr/>
        <w:tc>
          <w:tcPr>
            <w:tcW w:w="16012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4"/>
                <w:szCs w:val="24"/>
                <w:lang w:val="hr-HR" w:eastAsia="hr-HR" w:bidi="ar-SA"/>
              </w:rPr>
              <w:t>Sadržaji ishoda B.4.2. istovjetni su sadržajima ishoda A.4.1.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16012" w:type="dxa"/>
            <w:gridSpan w:val="4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color w:val="C00000"/>
                <w:sz w:val="28"/>
              </w:rPr>
            </w:pP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UMJETNOST U KONTEKSTU</w:t>
            </w:r>
          </w:p>
        </w:tc>
      </w:tr>
      <w:tr>
        <w:trPr/>
        <w:tc>
          <w:tcPr>
            <w:tcW w:w="16012" w:type="dxa"/>
            <w:gridSpan w:val="4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LK C.4.1. Učenik objašnjava i u likovnom i vizualnom radu interpretira kako je oblikovanje vizualne okoline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8"/>
                <w:szCs w:val="28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povezano s aktivnostima i namjenama koje se u njoj odvijaju.</w:t>
            </w:r>
          </w:p>
        </w:tc>
      </w:tr>
      <w:tr>
        <w:trPr/>
        <w:tc>
          <w:tcPr>
            <w:tcW w:w="3119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>
          <w:trHeight w:val="703" w:hRule="atLeast"/>
        </w:trPr>
        <w:tc>
          <w:tcPr>
            <w:tcW w:w="3119" w:type="dxa"/>
            <w:tcBorders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Likovnim i vizualnim izražavanjem učenik: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uspoređuje na koji način prostornom organizacijom čovjek prilagođava svoj životni prostor prirodnom okruženju i svojim potrebama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uspoređuje različite odnose slike i teksta te načine na koji taj odnos oblikuje poruku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–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u vlastitom radu koristi različite odnose slike i teksta u cilju postizanja jasnoće poruke i preglednosti sadržaja.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Plan, tlocrt, maketa.</w:t>
            </w:r>
          </w:p>
          <w:p>
            <w:pPr>
              <w:pStyle w:val="Normal"/>
              <w:widowControl/>
              <w:tabs>
                <w:tab w:val="clear" w:pos="708"/>
                <w:tab w:val="left" w:pos="1030" w:leader="none"/>
                <w:tab w:val="left" w:pos="1172" w:leader="none"/>
              </w:tabs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Odnos slike i teksta: reklame, časopisi, knjige, strip.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Likovnim i vizualnim izražavanjem učenik prepoznaje te povremeno opisuje na koji  način prostornom organizacijom čovjek prilagođava svoj životni prostor prirodnom okruženju i svojim potrebama.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Sposoban/na je djelomično usporediti  različite odnose slike i teksta.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U vlastitom radu većino koristi jednolične i iste odnose slike i teksta, slabije se odvažuje koristiti različite odnose, već radije pribjegava poznatome i već korištenome. U radu često neprecizan, koristi nedostatan broj detalja i češće su nejasni. 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Likovnim i vizualnim izražavanjem učenik većinom sasvim uspješno uspoređuje na koji način prostornom organizacijom čovjek prilagođava svoj životni prostor prirodnom okruženju i svojim potrebama.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opisuje različite odnose slike i teksta te načine na koji taj odnos oblikuje poruku.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vlastitom radu koristi različite odnose slike i teksta u cilju postizanja jasnoće poruke i preglednosti sadržaja te je pri tome prilično precizan, detaljan i jasan.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Likovnim i vizualnim izražavanjem učenik opisuje i uspoređuje na koji način prostornom organizacijom čovjek prilagođava svoj životni prostor prirodnom okruženju i svojim potrebama.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Samostalno i točno prepoznaje, opisuje i uspoređuje različite odnose slike i teksta te načine na koji taj odnos oblikuje poruku.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vlastitom radu koristi različite odnose slike i teksta u cilju postizanja jasnoće poruke i preglednosti sadržaja. U radu detaljan, precizan i jasan.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16012" w:type="dxa"/>
            <w:gridSpan w:val="4"/>
            <w:tcBorders>
              <w:top w:val="single" w:sz="6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LK C.4.2. Učenik povezuje umjetničko djelo s iskustvima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iz svakodnevnog života te društvenim kontekstom.</w:t>
            </w:r>
          </w:p>
        </w:tc>
      </w:tr>
      <w:tr>
        <w:trPr/>
        <w:tc>
          <w:tcPr>
            <w:tcW w:w="3119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>
          <w:trHeight w:val="703" w:hRule="atLeast"/>
        </w:trPr>
        <w:tc>
          <w:tcPr>
            <w:tcW w:w="3119" w:type="dxa"/>
            <w:tcBorders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i uspoređuje umjetnička djela povezujući ih sa znanjima stečenim na drugim nastavnim predmetima te iskustvima iz svakodnevnog života (uzimajući u obzir različite društvene čimbenike).</w:t>
            </w:r>
          </w:p>
          <w:p>
            <w:pPr>
              <w:pStyle w:val="Normal"/>
              <w:widowControl/>
              <w:tabs>
                <w:tab w:val="clear" w:pos="708"/>
                <w:tab w:val="left" w:pos="1030" w:leader="none"/>
                <w:tab w:val="left" w:pos="1172" w:leader="none"/>
              </w:tabs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barem jedno  umjetničko djelo te ga uz poticaj  povezuje sa znanjima stečenim na drugim nastavnim predmetima te iskustvima iz svakodnevnog života (uzimajući u obzir različite društvene čimbenike).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i uspoređuje više  umjetničkih djela povezujući ih sa znanjima stečenim na drugim nastavnim predmetima te iskustvima iz svakodnevnog života (uzimajući u obzir različite društvene čimbenike).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i uspoređuje umjetnička djela povezujući ih sa znanjima stečenim na drugim nastavnim predmetima te iskustvima iz svakodnevnog života točno i slikovito, te svojim izlaganjima služi kao primjer suučenicima (uzimajući u obzir različite društvene čimbenike).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>
          <w:trHeight w:val="703" w:hRule="atLeast"/>
        </w:trPr>
        <w:tc>
          <w:tcPr>
            <w:tcW w:w="3119" w:type="dxa"/>
            <w:tcBorders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djela kulturne i tradicijske baštine različitih krajeva i kultura te nalazi poveznice s društvenim kontekstom u kojem su nastala (način života, običaji).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prepoznaje lako uočljiva i skroz poznata/učeniku bliska iz neposredne stvarnosti djela kulturne i tradicijske baštine različitih krajeva i kultura.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djela kulturne i tradicijske baštine različitih krajeva i kultura te nalazi poveznice s društvenim kontekstom u kojem su nastala (način života, običaji).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opisuje i uspoređuje djela kulturne i tradicijske baštine različitih krajeva i kultura te nalazi poveznice s društvenim kontekstom u kojem su nastala (način života, običaji).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3119" w:type="dxa"/>
            <w:tcBorders>
              <w:top w:val="nil"/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Učenik navodi i opisuje konkretne primjere različitih oblika umjetničkog izražavanja, vrsta zanimanja, kulturno umjetničkih događanja, institucija i spomenika iz svog kraja s područja likovnih i vizualnih umjetnosti koje je posjetio i /ili upoznao (učitelj odabire od preporučenih sadržaja one koji su dostupni učenicima: muzej, galerija, izložba, radionica, kazalište).</w:t>
            </w:r>
          </w:p>
        </w:tc>
        <w:tc>
          <w:tcPr>
            <w:tcW w:w="42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Nakon posjeta izložbi/muzeju/likovnoj radionici/kazalištu: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Učenik prepoznaje konkretne primjere različitih oblika umjetničkog izražavanja, institucija i spomenika iz svoga kraja s područja likovnih i vizualnih umjetnosti.</w:t>
            </w:r>
          </w:p>
        </w:tc>
        <w:tc>
          <w:tcPr>
            <w:tcW w:w="41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Nakon posjeta izložbi/muzeju/likovnoj radionici/kazalištu: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/>
                <w:kern w:val="0"/>
                <w:lang w:val="hr-HR" w:eastAsia="en-US" w:bidi="ar-SA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Učenik prepoznaje, navodi i opisuje konkretne primjere različitih oblika umjetničkog izražavanja, institucija i spomenika iz svoga kraja s područja likovnih i vizualnih umjetnosti.</w:t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Nakon posjeta izložbi/muzeju/likovnoj radionici/kazalištu: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/>
                <w:kern w:val="0"/>
                <w:lang w:val="hr-HR" w:bidi="ar-SA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Učenik opisuje i uspoređuje konkretne primjere različitih oblika umjetničkog izražavanja,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 vrsta zanimanja, 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kulturno umjetničkih događanja, institucija i spomenika iz svoga kraja s područja likovnih i vizualnih umjetnosti.</w:t>
            </w:r>
          </w:p>
        </w:tc>
      </w:tr>
    </w:tbl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  <w:t xml:space="preserve">U nastavku donosimo elemente vrednovanja za dodani element: </w:t>
      </w:r>
      <w:r>
        <w:rPr>
          <w:rFonts w:cs="Calibri" w:cstheme="minorHAnsi"/>
          <w:b/>
          <w:sz w:val="24"/>
        </w:rPr>
        <w:t>Odgojni učinci rada</w:t>
      </w:r>
      <w:r>
        <w:rPr>
          <w:rFonts w:cs="Calibri" w:cstheme="minorHAnsi"/>
          <w:sz w:val="24"/>
        </w:rPr>
        <w:t>.</w:t>
      </w:r>
    </w:p>
    <w:tbl>
      <w:tblPr>
        <w:tblW w:w="16161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26"/>
        <w:gridCol w:w="3598"/>
        <w:gridCol w:w="3033"/>
        <w:gridCol w:w="3035"/>
        <w:gridCol w:w="3033"/>
        <w:gridCol w:w="3035"/>
      </w:tblGrid>
      <w:tr>
        <w:trPr/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8D08D" w:themeFill="accent6" w:themeFillTint="9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8D08D" w:themeFill="accent6" w:themeFillTint="9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NEDOVOLJAN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8D08D" w:themeFill="accent6" w:themeFillTint="9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</w:rPr>
              <w:t>DOVOLJAN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8D08D" w:themeFill="accent6" w:themeFillTint="9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DOBAR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8D08D" w:themeFill="accent6" w:themeFillTint="9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8D08D" w:themeFill="accent6" w:themeFillTint="99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ODLIČAN</w:t>
            </w:r>
          </w:p>
        </w:tc>
      </w:tr>
      <w:tr>
        <w:trPr>
          <w:trHeight w:val="1134" w:hRule="atLeast"/>
          <w:cantSplit w:val="true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Normal"/>
              <w:widowControl w:val="false"/>
              <w:spacing w:lineRule="auto" w:line="240" w:before="0" w:after="0"/>
              <w:ind w:left="113" w:right="113" w:hanging="0"/>
              <w:jc w:val="center"/>
              <w:rPr>
                <w:b/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ODGOJNI UČINCI RADA 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 ne želi raditi ni kao dio skupine niti samostalno čak ni uz stalne poticaje.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Neprimjereno se ponaša u radu.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Ne prihvaća odgovornost za svoje ponašanje.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Nema razvijen osjećaj samokontrole.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Ne nosi pribor za rad.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Ne reagira na opomenu.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Neprimjereno se ponaša u radu.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Odgovornost za svoje ponašanje prihvaća nakon intervencije učitelja.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Ne brine o urednosti pribora za rad i na sat ga nosi povremeno.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3" w:hanging="0"/>
              <w:rPr>
                <w:sz w:val="24"/>
              </w:rPr>
            </w:pPr>
            <w:r>
              <w:rPr>
                <w:sz w:val="24"/>
              </w:rPr>
              <w:t>Često ne reagira na opomenu.</w:t>
            </w:r>
          </w:p>
          <w:p>
            <w:pPr>
              <w:pStyle w:val="Normal"/>
              <w:widowControl w:val="false"/>
              <w:spacing w:lineRule="auto" w:line="240" w:before="0" w:after="0"/>
              <w:ind w:left="357" w:hanging="0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Prihvaća samo određena postavljena pravila.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Prihvaća i slijedi postavljena pravila pri radu uz manje opomene i podsjećanja.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Prihvaća i slijedi postavljena pravila pri radu.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>
            <w:pPr>
              <w:pStyle w:val="Default"/>
              <w:widowControl w:val="false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</w:r>
          </w:p>
        </w:tc>
      </w:tr>
    </w:tbl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jc w:val="center"/>
        <w:rPr>
          <w:rFonts w:cs="Calibri" w:cstheme="minorHAnsi"/>
          <w:b/>
          <w:b/>
          <w:sz w:val="40"/>
        </w:rPr>
      </w:pPr>
      <w:r>
        <w:rPr>
          <w:rFonts w:cs="Calibri" w:cstheme="minorHAnsi"/>
          <w:b/>
          <w:sz w:val="28"/>
        </w:rPr>
        <w:t>NASTAVNI PREDMET:  MATEMATIKA</w:t>
      </w:r>
    </w:p>
    <w:p>
      <w:pPr>
        <w:pStyle w:val="Box459495"/>
        <w:spacing w:before="280" w:after="280"/>
        <w:ind w:left="82" w:hanging="0"/>
        <w:jc w:val="both"/>
        <w:rPr>
          <w:rFonts w:ascii="Calibri" w:hAnsi="Calibri" w:cs="Calibri" w:asciiTheme="minorHAnsi" w:cstheme="minorHAnsi" w:hAnsiTheme="minorHAnsi"/>
          <w:b/>
          <w:b/>
          <w:i/>
          <w:i/>
          <w:sz w:val="28"/>
          <w:szCs w:val="22"/>
        </w:rPr>
      </w:pPr>
      <w:r>
        <w:rPr>
          <w:rFonts w:cs="Calibri" w:ascii="Calibri" w:hAnsi="Calibri" w:asciiTheme="minorHAnsi" w:cstheme="minorHAnsi" w:hAnsiTheme="minorHAnsi"/>
          <w:b/>
          <w:i/>
          <w:sz w:val="28"/>
          <w:szCs w:val="22"/>
        </w:rPr>
        <w:t>Domene  u nastavnome predmetu Matematika jesu:</w:t>
      </w:r>
    </w:p>
    <w:p>
      <w:pPr>
        <w:pStyle w:val="Box459495"/>
        <w:numPr>
          <w:ilvl w:val="0"/>
          <w:numId w:val="9"/>
        </w:numPr>
        <w:spacing w:before="280" w:after="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brojevi</w:t>
      </w:r>
    </w:p>
    <w:p>
      <w:pPr>
        <w:pStyle w:val="Box459495"/>
        <w:numPr>
          <w:ilvl w:val="0"/>
          <w:numId w:val="9"/>
        </w:numPr>
        <w:spacing w:before="0" w:after="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algebra i funkcije</w:t>
      </w:r>
    </w:p>
    <w:p>
      <w:pPr>
        <w:pStyle w:val="Box459495"/>
        <w:numPr>
          <w:ilvl w:val="0"/>
          <w:numId w:val="9"/>
        </w:numPr>
        <w:spacing w:before="0" w:after="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oblik i prostor</w:t>
      </w:r>
    </w:p>
    <w:p>
      <w:pPr>
        <w:pStyle w:val="Box459495"/>
        <w:numPr>
          <w:ilvl w:val="0"/>
          <w:numId w:val="9"/>
        </w:numPr>
        <w:spacing w:before="0" w:after="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mjerenje</w:t>
      </w:r>
    </w:p>
    <w:p>
      <w:pPr>
        <w:pStyle w:val="Box459495"/>
        <w:numPr>
          <w:ilvl w:val="0"/>
          <w:numId w:val="9"/>
        </w:numPr>
        <w:spacing w:before="0" w:after="280"/>
        <w:jc w:val="both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podatci, statistika i vjerojatnost</w:t>
      </w:r>
    </w:p>
    <w:p>
      <w:pPr>
        <w:pStyle w:val="Box459495"/>
        <w:spacing w:before="280" w:after="280"/>
        <w:ind w:left="82" w:hanging="0"/>
        <w:jc w:val="both"/>
        <w:rPr>
          <w:rFonts w:ascii="Calibri" w:hAnsi="Calibri" w:cs="Calibri" w:asciiTheme="minorHAnsi" w:cstheme="minorHAnsi" w:hAnsiTheme="minorHAnsi"/>
          <w:b/>
          <w:b/>
          <w:i/>
          <w:i/>
          <w:sz w:val="28"/>
          <w:szCs w:val="22"/>
        </w:rPr>
      </w:pPr>
      <w:r>
        <w:rPr>
          <w:rFonts w:cs="Calibri" w:ascii="Calibri" w:hAnsi="Calibri" w:asciiTheme="minorHAnsi" w:cstheme="minorHAnsi" w:hAnsiTheme="minorHAnsi"/>
          <w:b/>
          <w:i/>
          <w:sz w:val="28"/>
          <w:szCs w:val="22"/>
        </w:rPr>
        <w:t>Elementi vrednovanja u nastavnome predmetu Matematika jesu:</w:t>
      </w:r>
    </w:p>
    <w:p>
      <w:pPr>
        <w:pStyle w:val="Box459495"/>
        <w:spacing w:before="280" w:after="280"/>
        <w:ind w:left="82" w:hanging="0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Style w:val="Kurziv"/>
          <w:rFonts w:cs="Calibri" w:ascii="Calibri" w:hAnsi="Calibri" w:asciiTheme="minorHAnsi" w:cstheme="minorHAnsi" w:hAnsiTheme="minorHAnsi"/>
          <w:i/>
          <w:szCs w:val="22"/>
        </w:rPr>
        <w:t>1. Usvojenost znanja i vještina:</w:t>
      </w:r>
    </w:p>
    <w:p>
      <w:pPr>
        <w:pStyle w:val="Box459495"/>
        <w:numPr>
          <w:ilvl w:val="2"/>
          <w:numId w:val="6"/>
        </w:numPr>
        <w:spacing w:before="28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opisuje matematičke pojmove</w:t>
      </w:r>
    </w:p>
    <w:p>
      <w:pPr>
        <w:pStyle w:val="Box459495"/>
        <w:numPr>
          <w:ilvl w:val="2"/>
          <w:numId w:val="6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odabire odgovarajuće i matematički ispravne procedure te ih provodi</w:t>
      </w:r>
    </w:p>
    <w:p>
      <w:pPr>
        <w:pStyle w:val="Box459495"/>
        <w:numPr>
          <w:ilvl w:val="2"/>
          <w:numId w:val="6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provjerava ispravnost matematičkih postupaka i utvrđuje smislenost rezultata</w:t>
      </w:r>
    </w:p>
    <w:p>
      <w:pPr>
        <w:pStyle w:val="Box459495"/>
        <w:numPr>
          <w:ilvl w:val="2"/>
          <w:numId w:val="6"/>
        </w:numPr>
        <w:spacing w:before="0" w:after="28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upotrebljava i povezuje matematičke koncepte.</w:t>
      </w:r>
    </w:p>
    <w:p>
      <w:pPr>
        <w:pStyle w:val="Box459495"/>
        <w:spacing w:before="280" w:after="280"/>
        <w:ind w:left="82" w:hanging="0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Style w:val="Kurziv"/>
          <w:rFonts w:cs="Calibri" w:ascii="Calibri" w:hAnsi="Calibri" w:asciiTheme="minorHAnsi" w:cstheme="minorHAnsi" w:hAnsiTheme="minorHAnsi"/>
          <w:i/>
          <w:szCs w:val="22"/>
        </w:rPr>
        <w:t>2. Matematička komunikacija:</w:t>
      </w:r>
    </w:p>
    <w:p>
      <w:pPr>
        <w:pStyle w:val="Box459495"/>
        <w:numPr>
          <w:ilvl w:val="2"/>
          <w:numId w:val="7"/>
        </w:numPr>
        <w:spacing w:before="28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koristi se odgovarajućim matematičkim jezikom (standardni matematički simboli, zapisi i terminologija) pri usmenome i pisanome izražavanju</w:t>
      </w:r>
    </w:p>
    <w:p>
      <w:pPr>
        <w:pStyle w:val="Box459495"/>
        <w:numPr>
          <w:ilvl w:val="2"/>
          <w:numId w:val="7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koristi se odgovarajućim matematičkim prikazima za predstavljanje podataka</w:t>
      </w:r>
    </w:p>
    <w:p>
      <w:pPr>
        <w:pStyle w:val="Box459495"/>
        <w:numPr>
          <w:ilvl w:val="2"/>
          <w:numId w:val="7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prelazi između različitih matematičkih prikaza</w:t>
      </w:r>
    </w:p>
    <w:p>
      <w:pPr>
        <w:pStyle w:val="Box459495"/>
        <w:numPr>
          <w:ilvl w:val="2"/>
          <w:numId w:val="7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svoje razmišljanje iznosi cjelovitim, suvislim i sažetim matematičkim rečenicama</w:t>
      </w:r>
    </w:p>
    <w:p>
      <w:pPr>
        <w:pStyle w:val="Box459495"/>
        <w:numPr>
          <w:ilvl w:val="2"/>
          <w:numId w:val="7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postavlja pitanja i odgovara na pitanja koja nadilaze opseg izvorno postavljenoga pitanja</w:t>
      </w:r>
    </w:p>
    <w:p>
      <w:pPr>
        <w:pStyle w:val="Box459495"/>
        <w:numPr>
          <w:ilvl w:val="2"/>
          <w:numId w:val="7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organizira informacije u logičku strukturu</w:t>
      </w:r>
    </w:p>
    <w:p>
      <w:pPr>
        <w:pStyle w:val="Box459495"/>
        <w:numPr>
          <w:ilvl w:val="2"/>
          <w:numId w:val="7"/>
        </w:numPr>
        <w:spacing w:before="0" w:after="28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primjereno se koristi tehnologijom.</w:t>
      </w:r>
    </w:p>
    <w:p>
      <w:pPr>
        <w:pStyle w:val="Box459495"/>
        <w:spacing w:before="280" w:after="280"/>
        <w:ind w:left="82" w:hanging="0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Style w:val="Kurziv"/>
          <w:rFonts w:cs="Calibri" w:ascii="Calibri" w:hAnsi="Calibri" w:asciiTheme="minorHAnsi" w:cstheme="minorHAnsi" w:hAnsiTheme="minorHAnsi"/>
          <w:i/>
          <w:szCs w:val="22"/>
        </w:rPr>
        <w:t>3. Rješavanje problema:</w:t>
      </w:r>
    </w:p>
    <w:p>
      <w:pPr>
        <w:pStyle w:val="Box459495"/>
        <w:numPr>
          <w:ilvl w:val="2"/>
          <w:numId w:val="8"/>
        </w:numPr>
        <w:spacing w:before="28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prepoznaje relevantne elemente problema i naslućuje metode rješavanja</w:t>
      </w:r>
    </w:p>
    <w:p>
      <w:pPr>
        <w:pStyle w:val="Box459495"/>
        <w:numPr>
          <w:ilvl w:val="2"/>
          <w:numId w:val="8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uspješno primjenjuje odabranu matematičku metodu pri rješavanju problema</w:t>
      </w:r>
    </w:p>
    <w:p>
      <w:pPr>
        <w:pStyle w:val="Box459495"/>
        <w:numPr>
          <w:ilvl w:val="2"/>
          <w:numId w:val="8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modelira matematičkim zakonitostima problemske situacije uz raspravu</w:t>
      </w:r>
    </w:p>
    <w:p>
      <w:pPr>
        <w:pStyle w:val="Box459495"/>
        <w:numPr>
          <w:ilvl w:val="2"/>
          <w:numId w:val="8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ispravno rješava probleme u različitim kontekstima</w:t>
      </w:r>
    </w:p>
    <w:p>
      <w:pPr>
        <w:pStyle w:val="Box459495"/>
        <w:numPr>
          <w:ilvl w:val="2"/>
          <w:numId w:val="8"/>
        </w:numPr>
        <w:spacing w:before="0" w:after="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provjerava ispravnost matematičkih postupaka i utvrđuje smislenost rješenja problema</w:t>
      </w:r>
    </w:p>
    <w:p>
      <w:pPr>
        <w:pStyle w:val="Box459495"/>
        <w:numPr>
          <w:ilvl w:val="2"/>
          <w:numId w:val="8"/>
        </w:numPr>
        <w:spacing w:before="0" w:after="280"/>
        <w:ind w:left="709" w:hanging="425"/>
        <w:rPr>
          <w:rFonts w:ascii="Calibri" w:hAnsi="Calibri" w:cs="Calibri" w:asciiTheme="minorHAnsi" w:cstheme="minorHAnsi" w:hAnsiTheme="minorHAnsi"/>
          <w:i/>
          <w:i/>
          <w:szCs w:val="22"/>
        </w:rPr>
      </w:pPr>
      <w:r>
        <w:rPr>
          <w:rFonts w:cs="Calibri" w:ascii="Calibri" w:hAnsi="Calibri" w:asciiTheme="minorHAnsi" w:cstheme="minorHAnsi" w:hAnsiTheme="minorHAnsi"/>
          <w:i/>
          <w:szCs w:val="22"/>
        </w:rPr>
        <w:t>generalizira rješenje.</w:t>
      </w:r>
    </w:p>
    <w:p>
      <w:pPr>
        <w:pStyle w:val="Normal"/>
        <w:spacing w:lineRule="auto" w:line="240" w:before="0" w:after="0"/>
        <w:ind w:left="709" w:hanging="425"/>
        <w:rPr>
          <w:rFonts w:eastAsia="Times New Roman" w:cs="Calibri" w:cstheme="minorHAnsi"/>
          <w:b/>
          <w:b/>
          <w:i/>
          <w:i/>
          <w:color w:val="232323"/>
          <w:sz w:val="28"/>
          <w:szCs w:val="28"/>
          <w:lang w:eastAsia="hr-HR"/>
        </w:rPr>
      </w:pPr>
      <w:r>
        <w:rPr>
          <w:rFonts w:eastAsia="Times New Roman" w:cs="Calibri" w:cstheme="minorHAnsi"/>
          <w:b/>
          <w:i/>
          <w:color w:val="232323"/>
          <w:sz w:val="28"/>
          <w:szCs w:val="28"/>
          <w:lang w:eastAsia="hr-HR"/>
        </w:rPr>
        <w:t xml:space="preserve">Sadržaji vrednovanja </w:t>
      </w:r>
      <w:r>
        <w:rPr>
          <w:rFonts w:eastAsia="Times New Roman" w:cs="Calibri" w:cstheme="minorHAnsi"/>
          <w:b/>
          <w:bCs/>
          <w:i/>
          <w:color w:val="232323"/>
          <w:sz w:val="28"/>
          <w:szCs w:val="28"/>
          <w:lang w:eastAsia="hr-HR"/>
        </w:rPr>
        <w:t>u nastavi Matematike su: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ind w:left="709" w:hanging="425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usmena ispitivanja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09" w:hanging="425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09" w:hanging="425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analiza mape radova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09" w:hanging="425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procjena učeničke rasprave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ind w:left="709" w:hanging="425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8"/>
          <w:lang w:eastAsia="hr-HR"/>
        </w:rPr>
        <w:t>analiza učeničkih izvješća</w:t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i/>
          <w:i/>
          <w:color w:val="232323"/>
          <w:sz w:val="24"/>
          <w:szCs w:val="28"/>
          <w:lang w:eastAsia="hr-HR"/>
        </w:rPr>
      </w:pPr>
      <w:r>
        <w:rPr>
          <w:rFonts w:eastAsia="Times New Roman" w:cs="Calibri" w:cstheme="minorHAnsi"/>
          <w:i/>
          <w:color w:val="232323"/>
          <w:sz w:val="24"/>
          <w:szCs w:val="28"/>
          <w:lang w:eastAsia="hr-HR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Style w:val="Eop"/>
          <w:rFonts w:cs="Calibri" w:ascii="Calibri" w:hAnsi="Calibri" w:asciiTheme="minorHAnsi" w:cstheme="minorHAnsi" w:hAnsiTheme="minorHAnsi"/>
          <w:b/>
          <w:sz w:val="28"/>
        </w:rPr>
        <w:t>Tekst u kurzivu je u cijelosti preuzet iz Kurikuluma za Matematiku.</w:t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tbl>
      <w:tblPr>
        <w:tblStyle w:val="TableGrid1"/>
        <w:tblW w:w="16019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1" w:lastColumn="0" w:noHBand="0" w:val="0480"/>
      </w:tblPr>
      <w:tblGrid>
        <w:gridCol w:w="2577"/>
        <w:gridCol w:w="2947"/>
        <w:gridCol w:w="1564"/>
        <w:gridCol w:w="961"/>
        <w:gridCol w:w="2517"/>
        <w:gridCol w:w="2516"/>
        <w:gridCol w:w="2936"/>
      </w:tblGrid>
      <w:tr>
        <w:trPr/>
        <w:tc>
          <w:tcPr>
            <w:tcW w:w="16018" w:type="dxa"/>
            <w:gridSpan w:val="7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8"/>
              </w:rPr>
            </w:pP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BROJEVI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8"/>
                <w:szCs w:val="28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A.4.1. Služi se prirodnim brojevima do milijun.</w:t>
            </w:r>
          </w:p>
        </w:tc>
      </w:tr>
      <w:tr>
        <w:trPr/>
        <w:tc>
          <w:tcPr>
            <w:tcW w:w="2577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Broji, čita, piše i uspoređuje brojeve do milijun.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broji, čita, piše i uspoređuje brojeve do milijun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Uz metodički predložak djelomično čita, zapisuje i uspoređuje brojeve do    milijun brojkama i zadanim brojevnim riječima.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  <w:t xml:space="preserve">Uz pomoć broji, čita, piše i uspoređuje brojeve do milijun brojkama i brojevnim riječima.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Broji, čita, piše i uspoređuje brojeve do milijun</w:t>
            </w: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  <w:t xml:space="preserve"> uz manje greške.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  <w:t xml:space="preserve">Uredno i točno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čita, piše i uspoređuje brojeve do milijun</w:t>
            </w: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  <w:t xml:space="preserve"> brojkama i brojevnim riječima.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Navodi dekadske jedinice i opisuje njihove odnose.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navodi dekadske jedinice i opisuje njihove odnose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Navodi dekadske jedinice uz povremene greške.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Navodi dekadske jedinice, uz povremene greške opisuje njihove odnose.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Razvrstava brojeve dekadskog sustava po zadanim kriterijima.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i objašnjava način i pravilo nizanja brojeva u dekadskom sustavu brojeva.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mjesne vrijednosti pojedinih znamenaka.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mjesne vrijednosti pojedinih znamenaka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Određuje mjesne vrijednosti znamenaka samo uz pomoć tablice mjesnih vrijednosti.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</w:rPr>
            </w:pPr>
            <w:r>
              <w:rPr>
                <w:rFonts w:eastAsia="Calibri" w:cs="Calibri" w:cstheme="minorHAnsi"/>
                <w:i/>
                <w:iCs/>
                <w:kern w:val="0"/>
                <w:sz w:val="24"/>
                <w:szCs w:val="22"/>
                <w:lang w:val="hr-HR" w:eastAsia="en-US" w:bidi="ar-SA"/>
              </w:rPr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Određuje mjesne vrijednosti pojedinih znamenaka.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Crta tablicu mjesnih vrijednosti i u njoj prikazuje zadane brojeve.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Uredno i samostalno crta tablicu mjesnih vrijednosti i u njoj prikazuje zadane brojeve.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2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bottom w:val="single" w:sz="18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  <w:sz w:val="28"/>
                <w:szCs w:val="28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višeznamenkastim brojevima.</w:t>
            </w:r>
          </w:p>
        </w:tc>
        <w:tc>
          <w:tcPr>
            <w:tcW w:w="2947" w:type="dxa"/>
            <w:tcBorders>
              <w:left w:val="double" w:sz="12" w:space="0" w:color="000000"/>
              <w:bottom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koristi se višeznamenkastim brojevima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bottom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navođenje prikazuje višeznamenkaste brojeve.</w:t>
            </w:r>
          </w:p>
        </w:tc>
        <w:tc>
          <w:tcPr>
            <w:tcW w:w="2517" w:type="dxa"/>
            <w:tcBorders>
              <w:bottom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manje pogreške prikazuje i upotrebljava višeznamenkaste brojeve.</w:t>
            </w:r>
          </w:p>
        </w:tc>
        <w:tc>
          <w:tcPr>
            <w:tcW w:w="2516" w:type="dxa"/>
            <w:tcBorders>
              <w:bottom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27" w:hanging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Prikazuje i upotrebljava višeznamenkaste brojeve.</w:t>
            </w:r>
          </w:p>
        </w:tc>
        <w:tc>
          <w:tcPr>
            <w:tcW w:w="2936" w:type="dxa"/>
            <w:tcBorders>
              <w:bottom w:val="single" w:sz="1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Samostalno, brzo i točno prikazuje i upotrebljava višeznamenkaste brojeve.</w:t>
            </w:r>
          </w:p>
        </w:tc>
      </w:tr>
      <w:tr>
        <w:trPr/>
        <w:tc>
          <w:tcPr>
            <w:tcW w:w="16018" w:type="dxa"/>
            <w:gridSpan w:val="7"/>
            <w:tcBorders>
              <w:top w:val="single" w:sz="18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A.4.2. Pisano zbraja i oduzima u skupu prirodnih brojeva do milijun.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Zbraja i oduzima brojeve do milijun.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zbraja i oduzima brojeve do milijun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szCs w:val="24"/>
                <w:lang w:val="hr-HR" w:bidi="ar-SA"/>
              </w:rPr>
              <w:t xml:space="preserve">Uz podsjećanje na algoritam rada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zbraja i oduzima u skupu brojeva do milijun.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Djelomično točno zbraja i oduzima u skupu brojeva do milijun.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manje nesigurnosti zbraja i oduzima u skupu brojeva do milijun.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Brzo, sigurno i točno zbraja i oduzima u skupu brojeva do milijun.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odgovarajući matematički zapis pisanoga zbrajanja i oduzimanja.</w:t>
            </w:r>
          </w:p>
          <w:p>
            <w:pPr>
              <w:pStyle w:val="Normal"/>
              <w:widowControl/>
              <w:spacing w:lineRule="auto" w:line="240" w:before="0" w:after="0"/>
              <w:ind w:left="37" w:hanging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primjenjuje odgovarajući matematički zapis pisanoga zbrajanja i oduzimanja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pomoć učitelja primjenjuje odgovarajući matematički zapis te, uz navođenje, pisano zbraja i oduzima brojeve do milijun.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povremene pogreške i sugestije pisano zbraja i oduzima brojeve do milijun primjenjujući odgovarajući matematički zapis.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Pisano zbraja i oduzima brojeve do milijun primjenjujući odgovarajući matematički zapis.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Brzo i točno pisano zbraja i oduzima brojeve do milijun primjenjujući odgovarajući matematički zapis.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Primjenjuje svojstvo komutativnosti i vezu zbrajanja i oduzimanja.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primjenjuje svojstvo komutativnosti i vezu zbrajanja i oduzimanja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Rabi zamjenu mjesta pribrojnika i vezu zbrajanja i oduzimanja završavajući započete jednostavne primjere i uz pomoć učitelja.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Rabi zamjenu mjesta pribrojnika na različite načine isključivo prema riješenim modelima zadataka, uočava vezu zbrajanja i oduzimanja no ne uočava njezinu konkretnu primjenu.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Rabi zamjenu mjesta pribrojnika na različite načine uz manje greške i pomoć, uočava vezu zbrajanja i oduzimanja te se njome služi uz poticaj.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pravilo komutativnosti i primjenjuje ga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i točno, koristi se vezom zbrajanja i oduzimanja olakšavajući si rješavanje zadataka.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Imenuje članove računskih operacija.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imenuje članove računskih operacija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Djelomično točno imenuje članove u zbrajanju i oduzimanju.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Imenuje članove u zbrajanju i oduzimanju.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točno rješava tekstualne zadatke u kojima se pojavljuju imena članova zbrajanja i oduzimanja.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Rješava tekstualne zadatke u kojima se pojavljuju imena članova u zbrajanju i oduzimanju te iste koristi u komunikaciji na satu.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Rješava tekstualne zadatke.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rješava tekstualne zadatke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Rješava najjednostavnije tekstualne zadatke isključivo uz stalnu asistenciju i pomoć pri postavljanju zadatka.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Rješava najjednostavnije tekstualne zadatke s nestalnom razinom točnosti.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Rješava tekstualne zadatke uz manje nesigurnosti.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i točno rješava složenije tekstualne zadatke.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A.4.3. Pisano množi i dijeli dvoznamenkastim brojevima u skupu prirodnih brojeva do milijun.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Množi i dijeli brojeve s 10 i 100.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množi i dijeli brojeve s 10 i 100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Množi i dijeli brojeve 10 i 100 uz djelomičnu točnost.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/>
                <w:iCs/>
                <w:kern w:val="0"/>
                <w:sz w:val="24"/>
                <w:szCs w:val="24"/>
                <w:lang w:val="hr-HR" w:eastAsia="en-US" w:bidi="ar-SA"/>
              </w:rPr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Množi i dijeli brojeve 10 i 100 uz manje nesigurnosti.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Množi i dijeli brojeve 10 i 100. 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Točno, sigurno i brzo množi i dijeli brojeve 10 i 100.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Procjenjuje djelomični količnik.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procjenjuje djelomični količnik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Teško procjenjuje djelomični količnik što stvara dodatne poteškoće u dijeljenju.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Neprecizno i sporo procjenjuje djelomični količnik što znatno usporava dijeljenje.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Procjenjuje djelomični količnik.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Precizno i brzo procjenjuje djelomični količnik čime postiže brzinu u dijeljenju.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Procjenjuje rezultat u zadatku prije postupka pisanoga računanja.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procjenjuje rezultat u zadatku prije postupka pisanoga računanja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Procjenjuje rezultat zadanih zadataka samo na najočitijim primjerima i uz navođenje.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Procjenjuje rezultat zadanih zadataka samo na najočitijim primjerima.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precizno procjenjuje rezultat zadanih zadataka.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Precizno procjenjuje rezultat u zadanim zadatcima te se dobivenom procjenom koristi pri olakšavanju rješavanja zadataka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postupak pisanoga množenja i dijeljenja dvoznamenkastim brojem u različitim tipovima zadataka.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primjenjuje postupak pisanoga množenja i dijeljenja dvoznamenkastim brojem u različitim tipovima zadataka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vođenje i prema zadanim smjernicama primjenjuje određenu računsku radnju za određeni zadatak.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određenu računsku radnju u određenom zadatku slijedeći naputak za rad.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postupak pisanoga množenja i dijeljenja dvoznamenkastim brojem u različitim tipovima zadataka.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i točno se odlučuje za određenu računsku radnju u zadanim zadatcima.</w:t>
            </w:r>
          </w:p>
        </w:tc>
      </w:tr>
      <w:tr>
        <w:trPr/>
        <w:tc>
          <w:tcPr>
            <w:tcW w:w="2577" w:type="dxa"/>
            <w:tcBorders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svojstva računskih operacija radi provjere rezultata.</w:t>
            </w:r>
          </w:p>
        </w:tc>
        <w:tc>
          <w:tcPr>
            <w:tcW w:w="2947" w:type="dxa"/>
            <w:tcBorders>
              <w:left w:val="doub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primjenjuje svojstva računskih operacija radi provjere rezultata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Uz stalno podsjećanje povezuje množenje kao dijeljenju suprotnu računsku radnju te tek tada navedeno svojstvo koristi praktično u računanju.</w:t>
            </w:r>
          </w:p>
        </w:tc>
        <w:tc>
          <w:tcPr>
            <w:tcW w:w="2517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Provjerava rješenja prilikom računanja kada je to zadano u zadatku.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</w:r>
          </w:p>
        </w:tc>
        <w:tc>
          <w:tcPr>
            <w:tcW w:w="2516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provjerava rješenje prilikom izrade zadataka.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Zbog motiviranosti i brige o rezultatu rada samoinicijativno provjerava rješenja prilikom računanja.</w:t>
            </w:r>
          </w:p>
        </w:tc>
      </w:tr>
      <w:tr>
        <w:trPr/>
        <w:tc>
          <w:tcPr>
            <w:tcW w:w="16018" w:type="dxa"/>
            <w:gridSpan w:val="7"/>
            <w:tcBorders>
              <w:top w:val="sing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A.4.4. Primjenjuje četiri računske operacije i odnose među brojevima u problemskim situacijama.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Odabire računsku operaciju u pojedinome zadatku.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odabire računsku operaciju u pojedinome zadatku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Bez vođenja teško procjenjuje koja računska radnja će dovesti do rješenja u pojedinom zadatku. 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jednostavnijim zadatcima točno odabire računsku radnju pojedinome zadatku.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Odabire računsku operaciju u pojedinome zadatku.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 procjenjuje računske radnje koje će dovesti do rješenja i zahtjevnijih zadataka.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svojstva računskih operacija (komutativnost, asocijativnost i distributivnost).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primjenjuje svojstva računskih operacija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Isključivo uz vođenje primjenjuje svojstva računskih operacija.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svojstva računskih operacija u sugestivnim zadatcima ne koristeći ih samostalno prilikom rješavanja ostalih zadataka.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uspješno primjenjuje svojstva računskih operacija.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i samoinicijativno primjenjuje svojstva računskih operacija  prilikom računanja.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Provjerava rješenje primjenjujući veze među računskim operacijama.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provjerava rješenje primjenjujući veze među računskim operacijama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szCs w:val="24"/>
                <w:lang w:val="hr-HR" w:bidi="ar-SA"/>
              </w:rPr>
              <w:t xml:space="preserve">Rabi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veze među računskim operacijama za provjeru rezultata tek na inzistiranje učitelja.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Kada je zadano zadatkom rabi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veze među računskim operacijama za provjeru rezultata.</w:t>
            </w: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Uz manje poticaje </w:t>
            </w:r>
            <w:r>
              <w:rPr>
                <w:rFonts w:cs="Calibri" w:cstheme="minorHAnsi"/>
                <w:kern w:val="0"/>
                <w:sz w:val="24"/>
                <w:szCs w:val="24"/>
                <w:lang w:val="hr-HR" w:bidi="ar-SA"/>
              </w:rPr>
              <w:t xml:space="preserve">rabi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veze među računskim operacijama za provjeru rezultata.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Uočava i samoinicijativno </w:t>
            </w:r>
            <w:r>
              <w:rPr>
                <w:rFonts w:cs="Calibri" w:cstheme="minorHAnsi"/>
                <w:kern w:val="0"/>
                <w:sz w:val="24"/>
                <w:szCs w:val="24"/>
                <w:lang w:val="hr-HR" w:bidi="ar-SA"/>
              </w:rPr>
              <w:t xml:space="preserve">rabi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veze među računskim operacijama za provjeru rezultata.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Izvodi više računskih operacija.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izvodi više računskih operacija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Djelomično točno primjenjuje četiri računske operacije u rješavanju najjednostavnijih problemskih situacija iz neposredne okoline.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četiri računske operacije u rješavanju jednostavnih problemskih situacija iz neposredne okoline.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samostalno primjenjuje stečene matematičke spoznaje o brojevima, računskim operacijama i njihovim svojstvima u rješavanju svakodnevnih problemskih situacija.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stečene matematičke spoznaje o brojevima, računskim operacijama i njihovim svojstvima u rješavanju svakodnevnih problemskih situacija.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Rješava problemske zadatke sa uporabom i bez uporabe zagrada. 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rješava problemske zadatke sa uporabom i bez uporabe zagrada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Metodom pokušaja i pogrešaka određuje vrijednosti izraza sa i bez zagrada.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Prema ponavljanim smjernicama rješava zadatke sa i bez zagrada.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Rješava zadatke sa i bez zagrada.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pravila računanja sa i bez zagrada, primjenjuje ih, te lako i brzo računa zadane zadatke.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Procjenjuje rezultat.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procjenjuje rezultat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Teško procjenjuje rezultat što stvara dodatne poteškoće u dijeljenju.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Neprecizno i sporo procjenjuje rezultat što znatno usporava dijeljenje.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Procjenjuje rezultat.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Precizno i brzo procjenjuje rezultat.</w:t>
            </w:r>
          </w:p>
        </w:tc>
      </w:tr>
      <w:tr>
        <w:trPr/>
        <w:tc>
          <w:tcPr>
            <w:tcW w:w="2577" w:type="dxa"/>
            <w:tcBorders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Upotrebljava nazive članova računskih operacija.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upotrebljava nazive članova računskih operacija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Djelomično točno imenuje članove u zbrajanju i oduzimanju.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7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Imenuje članove u zbrajanju i oduzimanju.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točno rješava tekstualne zadatke u kojima se pojavljuju imena članova zbrajanja i oduzimanja.</w:t>
            </w:r>
          </w:p>
        </w:tc>
        <w:tc>
          <w:tcPr>
            <w:tcW w:w="2936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Rješava tekstualne zadatke u kojima se pojavljuju imena članova u zbrajanju i oduzimanju te iste koristi u komunikaciji na satu.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color w:val="C00000"/>
                <w:sz w:val="28"/>
              </w:rPr>
            </w:pP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ALGEBRA I FUNKCIJE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B.4.1. Određuje vrijednost nepoznate veličine u jednakostima ili nejednakostima.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Razlikuje jednakosti i nejednakosti.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razlikuje jednakosti i nejednakosti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Bez vođenja teško razlikuje jednakosti i nejednakosti čak i u najjednostavnijim oblicima prikaza (zadataka). 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Jednakosti i nejednakosti razlikuje u jednostavnijim oblicima prikaza (zadataka). </w:t>
            </w:r>
          </w:p>
          <w:p>
            <w:pPr>
              <w:pStyle w:val="Normal"/>
              <w:widowControl/>
              <w:spacing w:lineRule="auto" w:line="240" w:before="0" w:after="0"/>
              <w:ind w:left="31" w:hanging="32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Razlikuje jednakosti i nejednakosti.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jednakosti i nejednakosti u zadanim zadatcima te predlaže načine rješavanja.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slovom kao oznakom za nepoznati broj u jednakostima i nejednakostima.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koristi se slovom kao oznakom za nepoznati broj u jednakostima i nejednakostima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Teško uviđa matematički smisao zamjene slova brojevima.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 učitelja se koristi slovom kao oznakom za nepoznati broj.</w:t>
            </w:r>
          </w:p>
          <w:p>
            <w:pPr>
              <w:pStyle w:val="Normal"/>
              <w:widowControl/>
              <w:spacing w:lineRule="auto" w:line="240" w:before="0" w:after="0"/>
              <w:ind w:left="31" w:hanging="32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slovom kao oznakom za nepoznati broj.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Uviđa pojam nepoznanice te ju koristi i u ostalim oblicima, a ne samo kao slovo.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Računa vrijednost nepoznate veličine primjenjujući veze između računskih operacija.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računa vrijednost nepoznate veličine primjenjujući veze između računskih operacija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Rješava zadatke sa nepoznanicama uz stalnu podršku i konkrete.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povremenu pomoć i djelomično točno rješava zadatke sa nepoznanicama.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točno i samostalno računa zadatke s nepoznatim članom koristeći se vezama među računskim operacijama.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Koristeći se vezama među računskim operacijama samostalno određuje vrijednost nepoznatoga broja.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>
              <w:rPr>
                <w:rFonts w:cs="Calibri" w:cstheme="minorHAnsi"/>
                <w:b/>
                <w:color w:val="C00000"/>
                <w:kern w:val="0"/>
                <w:sz w:val="28"/>
                <w:lang w:val="hr-HR" w:bidi="ar-SA"/>
              </w:rPr>
              <w:t>OBLIK  I  PROSTOR</w:t>
            </w:r>
          </w:p>
        </w:tc>
      </w:tr>
      <w:tr>
        <w:trPr>
          <w:trHeight w:val="426" w:hRule="atLeast"/>
        </w:trPr>
        <w:tc>
          <w:tcPr>
            <w:tcW w:w="16018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C.4.1. Određuje i crta kut.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pojam kuta.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pojam kuta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Nepotpuno citira pojam kuta ne koristeći se matematičkom terminologijom.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Citira pojam kuta bez dodatnog objašnjenja.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značenje pojma kuta, usvojeno znanje uglavnom samostalno koristi za rješavanje zadataka.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 razumijevanjem i koristeći se matematičkom terminologijom objašnjava pojam kuta.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Prepoznaje, uspoređuje i crta pravi, šiljasti i tupi kut.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highlight w:val="yellow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highlight w:val="yellow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prepoznaje, uspoređuje i crta pravi, šiljasti i tupi kut. imenuje vrh i krakove kuta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Prepoznaje pravi, šiljasti i tupi kut, crta ih ne vodeći računa o urednosti niti o pravilnom korištenju geometrijskog pribora.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7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Prepoznaje, uspoređuje i crta pravi, šiljasti i tupi kut.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Prepoznaje, uspoređuje i crta pravi, šiljasti i tupi kut pri čemu je geometrijski crtež uglavnom uredan.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Prepoznaje, uspoređuje i crta pravi, šiljasti i tupi kut vodeći računa o urednosti geometrijskog crteža te o ispravnom načinu korištenja geometrijskog pribora.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Imenuje vrh i krakove kuta.</w:t>
            </w:r>
          </w:p>
        </w:tc>
        <w:tc>
          <w:tcPr>
            <w:tcW w:w="2947" w:type="dxa"/>
            <w:tcBorders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imenuje vrh i krakove kuta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pomoć imenuje vrh i krakove kuta.</w:t>
            </w:r>
          </w:p>
        </w:tc>
        <w:tc>
          <w:tcPr>
            <w:tcW w:w="2517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točno imenuje vrh i krakove kuta.</w:t>
            </w:r>
          </w:p>
        </w:tc>
        <w:tc>
          <w:tcPr>
            <w:tcW w:w="2516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 imenuje vrh i krakove kuta.</w:t>
            </w:r>
          </w:p>
        </w:tc>
        <w:tc>
          <w:tcPr>
            <w:tcW w:w="2936" w:type="dxa"/>
            <w:tcBorders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 imenuje vrh i krakove kuta koristeći se matematičkom terminologijom.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ističe točke koje (ne) pripadaju kutu.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i ističe točke koje (ne) pripadaju kutu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dodatne naputke prepoznaje i ističe točke koje (ne) pripadaju kutu.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517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samostalno prepoznaje i ističe točke koje (ne) pripadaju kutu.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516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ističe točke koje (ne) pripadaju kutu.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36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Argumentirano objašnjava odnos različitih točaka na geometrijskom crtežu koristeći se matematičkom terminologijom.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oznakom kuta (kut aVb) pazeći na orijentaciju (suprotno od kretanja kazaljki na satu).</w:t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koristi se oznakom kuta (kut avb) pazeći na orijentaciju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  <w:t>Kutove uglavnom označava dogovorenim oznakama, ne vodeći računa na smjer obilježavanja kuta.</w:t>
            </w:r>
          </w:p>
        </w:tc>
        <w:tc>
          <w:tcPr>
            <w:tcW w:w="2517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dogovorenim oznakama za obilježavanje kuta ne pazeći na smjer obilježavanja kuta.</w:t>
            </w:r>
          </w:p>
        </w:tc>
        <w:tc>
          <w:tcPr>
            <w:tcW w:w="2516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dogovorenim oznakama za obilježavanje kuta pazeći na smjer obilježavanja kuta.</w:t>
            </w:r>
          </w:p>
        </w:tc>
        <w:tc>
          <w:tcPr>
            <w:tcW w:w="2936" w:type="dxa"/>
            <w:tcBorders>
              <w:top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Samoinicijativno se koristi se dogovorenim oznakama za obilježavanje kuta pazeći na smjer obilježavanja kuta.</w:t>
            </w:r>
          </w:p>
        </w:tc>
      </w:tr>
      <w:tr>
        <w:trPr/>
        <w:tc>
          <w:tcPr>
            <w:tcW w:w="16018" w:type="dxa"/>
            <w:gridSpan w:val="7"/>
            <w:tcBorders>
              <w:top w:val="single" w:sz="12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C.4.2. Razlikuje i opisuje trokute prema duljinama stranica te pravokutni trokut.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 opisuje trokute prema duljinama stranica i dijeli ih na jednakostranične, raznostranične i jednakokračne trokute.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razlikuje i opisuje trokute prema duljinama stranica i dijeli ih na jednakostranične, raznostranične i jednakokračne trokute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 nepotpunim rečenicama opisuje trokute prema duljinama, izostaje matematička terminologija.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samostalno razlikuje i jednostavnim rječnikom opisuje trokute prema duljinama stranica i dijeli ih na jednakostranične, raznostranične i jednakokračne.</w:t>
            </w:r>
          </w:p>
        </w:tc>
        <w:tc>
          <w:tcPr>
            <w:tcW w:w="25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 opisuje trokute prema duljinama stranica i dijeli ih na jednakostranične, raznostranične i jednakokračne trokute.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opisuje trokute prema duljinama stranica i dijeli ih na jednakostranične, raznostranične i jednakokračne trokute koristeći se matematičkom terminologijom.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 opisuje pravokutni trokut u odnosu na druge trokute.</w:t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razlikuje i opisuje pravokutni trokut u odnosu na druge trokute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i, uz navođenje, jednostavnim rječnikom opisuje  pravokutni trokut.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 jednostavnim rječnikom opisuje  pravokutni trokut.</w:t>
            </w:r>
          </w:p>
        </w:tc>
        <w:tc>
          <w:tcPr>
            <w:tcW w:w="25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Svojim riječima opisuje pravokutni trokut u odnosu na druge trokute.</w:t>
            </w:r>
          </w:p>
        </w:tc>
        <w:tc>
          <w:tcPr>
            <w:tcW w:w="2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Matematičkim rječnikom određuje pravokutni trokut, objašnjava razliku između njega i ostalih vrsta trokuta.</w:t>
            </w:r>
          </w:p>
        </w:tc>
      </w:tr>
      <w:tr>
        <w:trPr/>
        <w:tc>
          <w:tcPr>
            <w:tcW w:w="16018" w:type="dxa"/>
            <w:gridSpan w:val="7"/>
            <w:tcBorders>
              <w:top w:val="single" w:sz="12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C.4.3. Opisuje i konstruira krug i njegove elemente.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i konstruira krug i njegove elemente (kružnica, polumjer i središte).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i konstruira krug i njegove elemente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navođenje i pomoć opisuje krug, geometrijski crtež kruga je nepotpun i neuredan.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Nepotpunim rečenicama opisuje  krug, geometrijski crtež kruga je neuredan uz djelomično označene elemente kruga.</w:t>
            </w:r>
          </w:p>
        </w:tc>
        <w:tc>
          <w:tcPr>
            <w:tcW w:w="25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krug, u većini slučajeva precizno i uredno konstruira krug i njegove elemente (kružnica, polumjer i središte).</w:t>
            </w:r>
          </w:p>
        </w:tc>
        <w:tc>
          <w:tcPr>
            <w:tcW w:w="2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Matematičkim rječnikom objašnjava krug, precizno i uredno konstruira krug i njegove elemente (kružnica, polumjer i središte).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Opisuje odnos kruga i kružnice. </w:t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odnos kruga i kružnice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 pomoću slikovnog prikaza u mogućnosti je odrediti razlike između kruga i kružnice.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Nepreciznim rečenicama opisuje međusobni odnos kruga i kružnice.</w:t>
            </w:r>
          </w:p>
        </w:tc>
        <w:tc>
          <w:tcPr>
            <w:tcW w:w="25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pravilno se koristi pojmovima kruga i kružnice, razumijevajući njihov odnos.</w:t>
            </w:r>
          </w:p>
        </w:tc>
        <w:tc>
          <w:tcPr>
            <w:tcW w:w="2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svakodnevnom govoru pravilno se koristi pojmovima kruga i kružnice, precizno određujući njihov odnos.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polumjer i središte kruga i kružnice.</w:t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polumjer i središte kruga i kružnice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Tek  pomoću slikovnog prikaza (skice, geometrijskog crteža) u mogućnosti je odrediti polumjer kružnice.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samostalno prepoznaje polumjer i središte kruga i kružnice.</w:t>
            </w:r>
          </w:p>
        </w:tc>
        <w:tc>
          <w:tcPr>
            <w:tcW w:w="25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Imenuje polumjer i središte kruga i kružnice, objašnjava ih svojim riječima.</w:t>
            </w:r>
          </w:p>
        </w:tc>
        <w:tc>
          <w:tcPr>
            <w:tcW w:w="2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Matematičkim rječnikom objašnjava polumjer i središte kružnice, navedenim pojmovima koristi se spontano.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16018" w:type="dxa"/>
            <w:gridSpan w:val="7"/>
            <w:tcBorders>
              <w:top w:val="single" w:sz="12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C.4.4. Crta i konstruira geometrijske likove.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Geometrijskim priborom crta osnovne geometrijske likove (raznostranični i pravokutni trokut, pravokutnik i kvadrat).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geometrijskim priborom crta osnovne geometrijske likove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naputke „korak po kora“ crta osnovne geometrijske likove, ne vodeći računa o urednosti geometrijskog crteža niti o pravilnoj upotrebi geometrijskog pribora.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Crta osnovne geometrijske likove ne vodeći računa o urednosti geometrijskog crteža niti o pravilnoj upotrebi geometrijskog pribora.</w:t>
            </w:r>
          </w:p>
        </w:tc>
        <w:tc>
          <w:tcPr>
            <w:tcW w:w="25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uredno i točno crta osnovne geometrijske likove.</w:t>
            </w:r>
          </w:p>
        </w:tc>
        <w:tc>
          <w:tcPr>
            <w:tcW w:w="2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Uredno i točno crta osnovne geometrijske likove pravilno se služeći geometrijskim priborom.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Konstruira jednakostranične, raznostranične i jednakokračne trokute.</w:t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konstruira jednakostranične, raznostranične i jednakokračne trokute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naputke „korak po kora“ konstruira različite vrste trokuta, ne vodeći računa o urednosti geometrijskog crteža niti o pravilnoj upotrebi geometrijskog pribora.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iCs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Crta različite vrste trokuta ne vodeći računa o urednosti geometrijskog crteža niti o pravilnoj upotrebi geometrijskog pribora.</w:t>
            </w:r>
          </w:p>
        </w:tc>
        <w:tc>
          <w:tcPr>
            <w:tcW w:w="25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uredno i točno crta različite vrste trokuta, pravilno se služeći geometrijskim priborom.</w:t>
            </w:r>
          </w:p>
        </w:tc>
        <w:tc>
          <w:tcPr>
            <w:tcW w:w="2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Uredno i točno crta različite vrste trokuta, pravilno se služeći geometrijskim priborom.</w:t>
            </w:r>
          </w:p>
        </w:tc>
      </w:tr>
      <w:tr>
        <w:trPr/>
        <w:tc>
          <w:tcPr>
            <w:tcW w:w="16018" w:type="dxa"/>
            <w:gridSpan w:val="7"/>
            <w:tcBorders>
              <w:top w:val="single" w:sz="12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C.4.5. Povezuje sve poznate geometrijske oblike.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Označava vrhove, stranice i kutove trokuta te trokut zapisuje simbolima (∆ABC).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označava vrhove, stranice i kutove trokuta te trokut zapisuje simbolima (∆abc)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Proizvoljno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obilježava dijelove trokuta, rijetko se koristi dogovorenim načinima i simbolima.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manje nesigurnosti obilježava dijelove trokuta dogovorenim načinima i simbolima.</w:t>
            </w:r>
          </w:p>
        </w:tc>
        <w:tc>
          <w:tcPr>
            <w:tcW w:w="25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Obilježava dijelove trokuta dogovorenim načinima i simbolima.</w:t>
            </w:r>
          </w:p>
        </w:tc>
        <w:tc>
          <w:tcPr>
            <w:tcW w:w="2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 i brzo obilježava dijelove trokuta dogovorenim načinima i simbolima.</w:t>
            </w:r>
          </w:p>
        </w:tc>
      </w:tr>
      <w:tr>
        <w:trPr/>
        <w:tc>
          <w:tcPr>
            <w:tcW w:w="2577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sve geometrijske pojmove u opisivanju geometrijskih objekata (vrhovi, strane, stranice, bridovi, kutovi).</w:t>
            </w:r>
          </w:p>
        </w:tc>
        <w:tc>
          <w:tcPr>
            <w:tcW w:w="294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povezuje sve geometrijske pojmove u opisivanju geometrijskih objekata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nepotpunim rečenicama i proizvoljnim geometrijskim pojmovima pri opisivanju geometrijskih likova i njihovih dijelova.</w:t>
            </w:r>
          </w:p>
        </w:tc>
        <w:tc>
          <w:tcPr>
            <w:tcW w:w="2517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jednostavnim rečenicama i djelomično točnim geometrijskim pojmovima pri opisivanju geometrijskih likova i njihovih dijelova.</w:t>
            </w:r>
          </w:p>
        </w:tc>
        <w:tc>
          <w:tcPr>
            <w:tcW w:w="251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uglavnom točnim geometrijskim pojmovima pri opisivanju geometrijskih likova i njihovih dijelova.</w:t>
            </w:r>
          </w:p>
        </w:tc>
        <w:tc>
          <w:tcPr>
            <w:tcW w:w="293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povezuje sve geometrijske pojmove u opisivanju geometrijskih objekata te iste koristi u kao dio usvojenog rječnika.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8"/>
              </w:rPr>
            </w:pP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MJERENJE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D.4.1. Procjenjuje i mjeri volumen tekućine.</w:t>
            </w:r>
          </w:p>
        </w:tc>
      </w:tr>
      <w:tr>
        <w:trPr/>
        <w:tc>
          <w:tcPr>
            <w:tcW w:w="2577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Primjenjuje pojam volumena (obujma, zapremnine) tekućine.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primjenjuje pojam volumena (obujma, zapremnine) tekućine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Neprecizno i proizvoljno primjenjuje pojam volumena, zapremine ili obujma tekućine.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poticaj, u uglavnom odgovarajućem kontekstu, primjenjuje pojam volumena, zapremine ili obujma tekućine.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pojam volumena, zapremine ili obujma tekućine u odgovarajućem kontekstu.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svom rječniku, spontano primjenjuje pojam volumena, zapremine ili obujma tekućine.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Upoznaje i uspoređuje različite posude za čuvanje tekućine.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upoznaje i uspoređuje različite posude za čuvanje tekućine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Metodom pokušaja i pogrešaka uspoređuje različite posude za čuvanje tekućine.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Upoznaje i uspoređuje različite posude za čuvanje tekućine.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uspoređuje različite posude za čuvanje tekućine.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Povezujući sa ranijim iskustvima predlaže različite namjene posuda za čuvanje tekućine.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vezu između oblika i volumena tekućine.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vezu između oblika i volumena tekućine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 najjednostavnijim primjerima i uz stalno vođenje opisuje vezu između oblika i volumena tekućine.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 jednostavnijim primjerima opisuje vezu između oblika i volumena tekućine.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vezu između oblika i volumena tekućine.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Argumentirano opisuje vezu između oblika i volumena tekućine koristeći se ranijim iskustvima i procjenom.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Procjenjuje i mjeri volumen tekućine prelijevanjem.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procjenjuje i mjeri volumen tekućine prelijevanjem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stalnu pomoć učitelja procjenjuje i mjeri volumen.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povremenu pomoć učitelja procjenjuje i mjeri volumen.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točno procjenjuje i mjeri volumen.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standardne mjerne jedinice za tekućinu, točno procjenjuje i mjeri volumen.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Imenuje jedinice za mjerenje volumena tekućine (litra, decilitar).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imenuje jedinice za mjerenje volumena tekućine (litra, decilitar)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Imenuje jedinice za mjerenje volumena tekućine (litra, decilitar) nestalnom točnošću.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iCs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Imenuje jedinice za mjerenje volumena tekućine (litra, decilitar).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Navodi standardne mjerne jedinice za tekućinu uglavnom uspješno ih stavljajući u suodnos.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Times New Roman" w:cs="Calibri"/>
                <w:sz w:val="24"/>
                <w:szCs w:val="24"/>
                <w:lang w:eastAsia="hr-HR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:lang w:val="hr-HR" w:eastAsia="hr-HR" w:bidi="ar-SA"/>
              </w:rPr>
              <w:t>U zadatcima primjenjuje odnose mjernih jedinica za tekućine.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Računa s mjernim jedinicama za volumen tekućine.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računa s mjernim jedinicama za volumen tekućine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 i djelomično točno računa s mjernim jedinicama za volumen tekućine.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manju pomoć i nesigurnosti računa s mjernim jedinicama za volumen tekućine.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točno računa s mjernim jedinicama za volumen tekućine.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Brzo i točno računa s mjernim jedinicama za volumen tekućine.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Preračunava mjerne jedinice.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preračunava mjerne jedinice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Mjerne jedinice preračunava pomoću predočenih pomoćnih zapisa brojčanih odnosa među mjernim jedinicama.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Preračunava mjerne jedinice na jednostavnijim primjerima.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točno rješava zadatke u kojima je iskazana potreba za preračunavanjem mjernih jedinica.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Lako, brzo i točno rješava zadatke u kojima je iskazana potreba za preračunavanjem mjernih jedinica.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D.4.2. Uspoređuje površine likova te ih mjeri jediničnim kvadratima.</w:t>
            </w:r>
          </w:p>
        </w:tc>
      </w:tr>
      <w:tr>
        <w:trPr/>
        <w:tc>
          <w:tcPr>
            <w:tcW w:w="2577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ravnini uspoređuje likove različitih površina prema veličini dijela ravnine koju zauzimaju te tako upoznaje pojam površine.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u ravnini uspoređuje likove različitih površina prema veličini dijela ravnine koju zauzimaju te tako upoznaje pojam površine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 uspoređuje likove različitih površina, prepoznaje pojam površine pomoću dodatnih smjernica i vođenja.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nesigurnosti uspoređuje likove različitih površina, prepoznaje pojam površine.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točno uspoređuje likove različitih površina, shvaća pojam površine.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Uviđa praktičnu potrebu mjerenja površine, točno uspoređuje likove različitih površina, shvaća pojam površine.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Mjeri površinu likova ucrtanih u kvadratnoj mreži prebrojavanjem kvadrata.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mjeri površinu likova ucrtanih u kvadratnoj mreži prebrojavanjem kvadrata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vođenje učitelja mjeri površine jednostavnijih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likova ucrtanih u kvadratnoj mreži prebrojavanjem kvadrata.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dodatne smjernice mjeri površine jednostavnijih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likova ucrtanih u kvadratnoj mreži prebrojavanjem kvadrata.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samostalno i točno mjeri površine jednostavnijih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likova ucrtanih u kvadratnoj mreži prebrojavanjem kvadrata.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i točno mjeri površine jednostavnijih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likova ucrtanih u kvadratnoj mreži prebrojavanjem kvadrata.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Ucrtava u kvadratnu mrežu likove zadane površine.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ucrtava u kvadratnu mrežu likove zadane površine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kvadratnu mrežu neprecizno ucrtava jednostavne likove zadane površine.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iCs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kvadratnu mrežu, nestalnom preciznošću, ucrtava jednostavne likove zadane površine.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kvadratnu mrežu, uglavnom precizno, ucrtava likove zadane površine.</w:t>
            </w:r>
          </w:p>
          <w:p>
            <w:pPr>
              <w:pStyle w:val="Normal"/>
              <w:widowControl/>
              <w:spacing w:lineRule="auto" w:line="240" w:before="0" w:after="0"/>
              <w:ind w:left="29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kvadratnu mrežu precizno ucrtava likove zadane površine.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Mjeri površine pravokutnih likova prekrivanjem površine jediničnim kvadratom.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mjeri površine pravokutnih likova prekrivanjem površine jediničnim kvadratom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vođenje učitelja mjeri površine pravokutnih likova prekrivanjem površine jediničnim kvadratom.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/>
                <w:iCs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dodatne naputke mjeri površine pravokutnih likova prekrivanjem površine jediničnim kvadratom.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samostalno i točno mjeri površine pravokutnih likova prekrivanjem površine jediničnim kvadratom.</w:t>
            </w:r>
          </w:p>
          <w:p>
            <w:pPr>
              <w:pStyle w:val="Normal"/>
              <w:widowControl/>
              <w:spacing w:lineRule="auto" w:line="240" w:before="0" w:after="0"/>
              <w:ind w:left="29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i točno mjeri površine pravokutnih likova prekrivanjem površine jediničnim kvadratom.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Poznaje standardne mjere za površinu (centimetar kvadratni, decimetar kvadratni, metar kvadratni).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poznaje standardne mjere za površinu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Djelomično poznaje standardne mjere za površinu (kvadratni centimetar, decimetar i metar).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Poznaje standardne mjere za površinu (kvadratni centimetar, decimetar i metar).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točno preračunava standardne mjere za površinu (kvadratni centimetar, decimetar i metar).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 preračunava standardne mjere za površinu (kvadratni centimetar, decimetar i metar).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Mjeri pravokutne površine u neposrednoj okolini.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mjeri pravokutne površine u neposrednoj okolini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 uz vođenje učitelja ili kao dio skupine mjeri pravokutne površine u neposrednoj okolini.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samostalno mjeri pravokutne površine u neposrednoj okolini.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29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Uviđa praktičnu potrebu mjerenja površine, mjeri površine u svojoj okolini.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Uviđa praktičnu potrebu mjerenja površine, smišlja najbolje načine mjerenja površine u svojoj okolini.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color w:val="C00000"/>
                <w:sz w:val="28"/>
                <w:szCs w:val="23"/>
                <w:lang w:eastAsia="hr-HR"/>
              </w:rPr>
            </w:pPr>
            <w:r>
              <w:rPr>
                <w:rFonts w:cs="Calibri" w:cstheme="minorHAnsi"/>
                <w:b/>
                <w:color w:val="C00000"/>
                <w:kern w:val="0"/>
                <w:sz w:val="28"/>
                <w:lang w:val="hr-HR" w:bidi="ar-SA"/>
              </w:rPr>
              <w:t>PODACI, STATISTIKA I VJEROJATNOST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E.4.1. Provodi jednostavna istraživanja i analizira dobivene podatke.</w:t>
            </w:r>
          </w:p>
        </w:tc>
      </w:tr>
      <w:tr>
        <w:trPr/>
        <w:tc>
          <w:tcPr>
            <w:tcW w:w="2577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7088" w:type="dxa"/>
            <w:gridSpan w:val="3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Osmišljava i provodi jednostavna istraživanja u svojoj neposrednoj okolini.</w:t>
            </w:r>
          </w:p>
        </w:tc>
        <w:tc>
          <w:tcPr>
            <w:tcW w:w="8930" w:type="dxa"/>
            <w:gridSpan w:val="4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Prikuplja podatke, razvrstava ih i prikazuje neformalno i formalno.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prikuplja podatke, razvrstava ih i prikazuje neformalno i formalno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Metodom pokušaja i pogrešaka zadane podatke razvrstava prema zadanome kriteriju.</w:t>
            </w:r>
          </w:p>
        </w:tc>
        <w:tc>
          <w:tcPr>
            <w:tcW w:w="2517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Prema zadanim smjernicama zadane podatke razvrstava prema zadanome kriteriju.</w:t>
            </w:r>
          </w:p>
        </w:tc>
        <w:tc>
          <w:tcPr>
            <w:tcW w:w="251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manje nesigurnosti zadane podatke razvrstava prema zadanome kriteriju.</w:t>
            </w:r>
          </w:p>
        </w:tc>
        <w:tc>
          <w:tcPr>
            <w:tcW w:w="2936" w:type="dxa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Zadane podatke razvrstava prema zadanome kriteriju predlažući različite grafove za unos različitih podataka.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Čita podatke iz tablica i jednostavnih dijagrama.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čita podatke iz tablica i jednostavnih dijagrama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pomoć učitelja čita podatke iz različitih tablica i dijagrama.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Čita podatke iz tablica i jednostavnih dijagrama.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 točno čita podatke iz različitih tablica i dijagrama.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Čita podatke iz različitih tablica i dijagrama.</w:t>
            </w:r>
          </w:p>
        </w:tc>
      </w:tr>
      <w:tr>
        <w:trPr/>
        <w:tc>
          <w:tcPr>
            <w:tcW w:w="16018" w:type="dxa"/>
            <w:gridSpan w:val="7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MAT OŠ E.4.2. Opisuje vjerojatnost događaja.</w:t>
            </w:r>
          </w:p>
        </w:tc>
      </w:tr>
      <w:tr>
        <w:trPr/>
        <w:tc>
          <w:tcPr>
            <w:tcW w:w="2577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7088" w:type="dxa"/>
            <w:gridSpan w:val="3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 razgovoru iskazuje mogućnosti.</w:t>
            </w:r>
          </w:p>
        </w:tc>
        <w:tc>
          <w:tcPr>
            <w:tcW w:w="8930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Navedena sastavnica ishoda ne vrednuje se numerički, već se za nju vode pisane bilješke.</w:t>
            </w:r>
          </w:p>
        </w:tc>
      </w:tr>
      <w:tr>
        <w:trPr/>
        <w:tc>
          <w:tcPr>
            <w:tcW w:w="2577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Uspoređuje ishode riječima vjerojatniji, manje vjerojatan, najvjerojatniji.</w:t>
            </w:r>
          </w:p>
        </w:tc>
        <w:tc>
          <w:tcPr>
            <w:tcW w:w="294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uspoređuje ishode riječima vjerojatniji, manje vjerojatan, najvjerojatniji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25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Teško razabire događaje koji su sigurni, mogući i nemogući.</w:t>
            </w:r>
          </w:p>
        </w:tc>
        <w:tc>
          <w:tcPr>
            <w:tcW w:w="251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dodatne primjere navodi događaje koji su sigurni, mogući i nemogući.</w:t>
            </w:r>
          </w:p>
        </w:tc>
        <w:tc>
          <w:tcPr>
            <w:tcW w:w="25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Navodi događaje koji su sigurni, mogući i nemogući.</w:t>
            </w:r>
          </w:p>
        </w:tc>
        <w:tc>
          <w:tcPr>
            <w:tcW w:w="29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i razvrstava događaje koji su sigurni, mogući i nemogući potkrjepljujući svoje procjene dodatnim tvrdnjama.</w:t>
            </w:r>
          </w:p>
        </w:tc>
      </w:tr>
    </w:tbl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Box459587"/>
        <w:spacing w:before="280" w:after="280"/>
        <w:jc w:val="both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jc w:val="center"/>
        <w:rPr>
          <w:rFonts w:cs="Calibri" w:cstheme="minorHAnsi"/>
          <w:b/>
          <w:b/>
          <w:sz w:val="40"/>
        </w:rPr>
      </w:pPr>
      <w:r>
        <w:rPr/>
      </w:r>
    </w:p>
    <w:p>
      <w:pPr>
        <w:pStyle w:val="Normal"/>
        <w:jc w:val="center"/>
        <w:rPr>
          <w:rFonts w:cs="Calibri" w:cstheme="minorHAnsi"/>
          <w:b/>
          <w:b/>
          <w:sz w:val="40"/>
        </w:rPr>
      </w:pPr>
      <w:r>
        <w:rPr>
          <w:rFonts w:cs="Calibri" w:cstheme="minorHAnsi"/>
          <w:b/>
          <w:sz w:val="28"/>
        </w:rPr>
        <w:t>NASTAVNI PREDMET:  PRIRODA I DRUŠTVO</w:t>
      </w:r>
    </w:p>
    <w:p>
      <w:pPr>
        <w:pStyle w:val="Box459587"/>
        <w:spacing w:before="280" w:after="280"/>
        <w:ind w:left="-142" w:firstLine="284"/>
        <w:rPr>
          <w:rFonts w:ascii="Calibri" w:hAnsi="Calibri" w:cs="Calibri" w:asciiTheme="minorHAnsi" w:cstheme="minorHAnsi" w:hAnsiTheme="minorHAnsi"/>
          <w:b/>
          <w:b/>
          <w:i/>
          <w:i/>
          <w:sz w:val="28"/>
        </w:rPr>
      </w:pPr>
      <w:r>
        <w:rPr>
          <w:rFonts w:cs="Calibri" w:ascii="Calibri" w:hAnsi="Calibri" w:asciiTheme="minorHAnsi" w:cstheme="minorHAnsi" w:hAnsiTheme="minorHAnsi"/>
          <w:b/>
          <w:i/>
          <w:sz w:val="28"/>
        </w:rPr>
        <w:t xml:space="preserve">Kurikulum nastavnoga predmeta Priroda i društvo obuhvaća koncepte: </w:t>
      </w:r>
    </w:p>
    <w:p>
      <w:pPr>
        <w:pStyle w:val="Box459587"/>
        <w:numPr>
          <w:ilvl w:val="0"/>
          <w:numId w:val="4"/>
        </w:numPr>
        <w:spacing w:before="280" w:after="0"/>
        <w:ind w:left="709" w:hanging="283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ascii="Calibri" w:hAnsi="Calibri" w:asciiTheme="minorHAnsi" w:cstheme="minorHAnsi" w:hAnsiTheme="minorHAnsi"/>
          <w:i/>
        </w:rPr>
        <w:t>Organiziranost svijeta oko nas (oznaka A)</w:t>
      </w:r>
    </w:p>
    <w:p>
      <w:pPr>
        <w:pStyle w:val="Box459587"/>
        <w:numPr>
          <w:ilvl w:val="0"/>
          <w:numId w:val="4"/>
        </w:numPr>
        <w:spacing w:before="0" w:after="0"/>
        <w:ind w:left="709" w:hanging="283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ascii="Calibri" w:hAnsi="Calibri" w:asciiTheme="minorHAnsi" w:cstheme="minorHAnsi" w:hAnsiTheme="minorHAnsi"/>
          <w:i/>
        </w:rPr>
        <w:t>Promjene i odnosi (oznaka B)</w:t>
      </w:r>
    </w:p>
    <w:p>
      <w:pPr>
        <w:pStyle w:val="Box459587"/>
        <w:numPr>
          <w:ilvl w:val="0"/>
          <w:numId w:val="4"/>
        </w:numPr>
        <w:spacing w:before="0" w:after="0"/>
        <w:ind w:left="709" w:hanging="283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ascii="Calibri" w:hAnsi="Calibri" w:asciiTheme="minorHAnsi" w:cstheme="minorHAnsi" w:hAnsiTheme="minorHAnsi"/>
          <w:i/>
        </w:rPr>
        <w:t xml:space="preserve">Pojedinac i društvo (oznaka C) </w:t>
      </w:r>
    </w:p>
    <w:p>
      <w:pPr>
        <w:pStyle w:val="Box459587"/>
        <w:numPr>
          <w:ilvl w:val="0"/>
          <w:numId w:val="4"/>
        </w:numPr>
        <w:spacing w:before="0" w:after="280"/>
        <w:ind w:left="709" w:hanging="283"/>
        <w:rPr>
          <w:rFonts w:ascii="Calibri" w:hAnsi="Calibri" w:cs="Calibri" w:asciiTheme="minorHAnsi" w:cstheme="minorHAnsi" w:hAnsiTheme="minorHAnsi"/>
          <w:i/>
          <w:i/>
          <w:sz w:val="28"/>
          <w:szCs w:val="28"/>
        </w:rPr>
      </w:pPr>
      <w:r>
        <w:rPr>
          <w:rFonts w:cs="Calibri" w:ascii="Calibri" w:hAnsi="Calibri" w:asciiTheme="minorHAnsi" w:cstheme="minorHAnsi" w:hAnsiTheme="minorHAnsi"/>
          <w:i/>
        </w:rPr>
        <w:t>Energija (oznaka D).</w:t>
      </w:r>
    </w:p>
    <w:p>
      <w:pPr>
        <w:pStyle w:val="Box459469"/>
        <w:spacing w:before="280" w:after="280"/>
        <w:rPr>
          <w:rFonts w:ascii="Calibri" w:hAnsi="Calibri" w:cs="Calibri" w:asciiTheme="minorHAnsi" w:cstheme="minorHAnsi" w:hAnsiTheme="minorHAnsi"/>
          <w:b/>
          <w:b/>
          <w:i/>
          <w:i/>
          <w:sz w:val="28"/>
        </w:rPr>
      </w:pPr>
      <w:r>
        <w:rPr>
          <w:rFonts w:cs="Calibri" w:ascii="Calibri" w:hAnsi="Calibri" w:asciiTheme="minorHAnsi" w:cstheme="minorHAnsi" w:hAnsiTheme="minorHAnsi"/>
          <w:b/>
          <w:i/>
          <w:sz w:val="28"/>
        </w:rPr>
        <w:t>U nastavnome predmetu Priroda i društvo dva su elementa vrednovanja:</w:t>
      </w:r>
    </w:p>
    <w:p>
      <w:pPr>
        <w:pStyle w:val="Box459469"/>
        <w:numPr>
          <w:ilvl w:val="0"/>
          <w:numId w:val="5"/>
        </w:numPr>
        <w:spacing w:before="280" w:after="0"/>
        <w:ind w:left="709" w:hanging="283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ascii="Calibri" w:hAnsi="Calibri" w:asciiTheme="minorHAnsi" w:cstheme="minorHAnsi" w:hAnsiTheme="minorHAnsi"/>
          <w:i/>
        </w:rPr>
        <w:t>usvojenost znanja</w:t>
      </w:r>
    </w:p>
    <w:p>
      <w:pPr>
        <w:pStyle w:val="Box459469"/>
        <w:numPr>
          <w:ilvl w:val="0"/>
          <w:numId w:val="5"/>
        </w:numPr>
        <w:spacing w:before="0" w:after="280"/>
        <w:ind w:left="709" w:hanging="283"/>
        <w:rPr>
          <w:rFonts w:ascii="Calibri" w:hAnsi="Calibri" w:cs="Calibri" w:asciiTheme="minorHAnsi" w:cstheme="minorHAnsi" w:hAnsiTheme="minorHAnsi"/>
          <w:i/>
          <w:i/>
        </w:rPr>
      </w:pPr>
      <w:r>
        <w:rPr>
          <w:rFonts w:cs="Calibri" w:ascii="Calibri" w:hAnsi="Calibri" w:asciiTheme="minorHAnsi" w:cstheme="minorHAnsi" w:hAnsiTheme="minorHAnsi"/>
          <w:i/>
        </w:rPr>
        <w:t>istraživačke vještine.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i/>
          <w:i/>
          <w:color w:val="232323"/>
          <w:sz w:val="28"/>
          <w:szCs w:val="28"/>
          <w:lang w:eastAsia="hr-HR"/>
        </w:rPr>
      </w:pPr>
      <w:r>
        <w:rPr>
          <w:rFonts w:eastAsia="Times New Roman" w:cs="Calibri" w:cstheme="minorHAnsi"/>
          <w:i/>
          <w:color w:val="232323"/>
          <w:sz w:val="28"/>
          <w:szCs w:val="28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b/>
          <w:b/>
          <w:i/>
          <w:i/>
          <w:color w:val="232323"/>
          <w:sz w:val="28"/>
          <w:szCs w:val="24"/>
          <w:lang w:eastAsia="hr-HR"/>
        </w:rPr>
      </w:pPr>
      <w:r>
        <w:rPr>
          <w:rFonts w:eastAsia="Times New Roman" w:cs="Calibri" w:cstheme="minorHAnsi"/>
          <w:b/>
          <w:i/>
          <w:color w:val="232323"/>
          <w:sz w:val="28"/>
          <w:szCs w:val="24"/>
          <w:lang w:eastAsia="hr-HR"/>
        </w:rPr>
        <w:t xml:space="preserve">Sadržaji vrednovanja </w:t>
      </w:r>
      <w:r>
        <w:rPr>
          <w:rFonts w:cs="Calibri" w:cstheme="minorHAnsi"/>
          <w:b/>
          <w:i/>
          <w:sz w:val="28"/>
        </w:rPr>
        <w:t>nastavnome predmetu Priroda su: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rPr>
          <w:rFonts w:eastAsia="Times New Roman" w:cs="Calibri" w:cstheme="minorHAnsi"/>
          <w:i/>
          <w:i/>
          <w:color w:val="232323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>
        <w:rPr>
          <w:rFonts w:eastAsia="Times New Roman" w:cs="Calibri" w:cstheme="minorHAnsi"/>
          <w:i/>
          <w:color w:val="232323"/>
          <w:sz w:val="24"/>
          <w:szCs w:val="24"/>
          <w:lang w:eastAsia="hr-HR"/>
        </w:rPr>
        <w:t>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4"/>
          <w:lang w:eastAsia="hr-HR"/>
        </w:rPr>
        <w:t>rješavanje problemskih zadataka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>
      <w:pPr>
        <w:pStyle w:val="Normal"/>
        <w:numPr>
          <w:ilvl w:val="0"/>
          <w:numId w:val="2"/>
        </w:numPr>
        <w:spacing w:lineRule="auto" w:line="240" w:before="0" w:after="0"/>
        <w:rPr>
          <w:rFonts w:eastAsia="Times New Roman" w:cs="Calibri" w:cstheme="minorHAnsi"/>
          <w:i/>
          <w:i/>
          <w:color w:val="232323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4"/>
          <w:lang w:eastAsia="hr-HR"/>
        </w:rPr>
        <w:t>izrada konceptualnih i/ili umnih mapa, križaljki, pitalica, rebusa, kvizova, stripova, infografika prema unaprijed utvrđenim kriterijima 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rPr>
          <w:rFonts w:eastAsia="Times New Roman" w:cs="Calibri" w:cstheme="minorHAnsi"/>
          <w:i/>
          <w:i/>
          <w:color w:val="232323"/>
          <w:sz w:val="24"/>
          <w:szCs w:val="24"/>
          <w:lang w:eastAsia="hr-HR"/>
        </w:rPr>
      </w:pPr>
      <w:r>
        <w:rPr>
          <w:rFonts w:eastAsia="Times New Roman" w:cs="Calibri" w:cstheme="minorHAns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p>
      <w:pPr>
        <w:pStyle w:val="Normal"/>
        <w:rPr>
          <w:rFonts w:cs="Calibri" w:cstheme="minorHAnsi"/>
          <w:b/>
          <w:b/>
          <w:i/>
          <w:i/>
          <w:sz w:val="24"/>
          <w:szCs w:val="24"/>
        </w:rPr>
      </w:pPr>
      <w:r>
        <w:rPr>
          <w:rFonts w:cs="Calibri" w:cstheme="minorHAnsi"/>
          <w:b/>
          <w:i/>
          <w:sz w:val="24"/>
          <w:szCs w:val="24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Style w:val="Eop"/>
          <w:rFonts w:cs="Calibri" w:ascii="Calibri" w:hAnsi="Calibri" w:asciiTheme="minorHAnsi" w:cstheme="minorHAnsi" w:hAnsiTheme="minorHAnsi"/>
          <w:b/>
          <w:sz w:val="28"/>
        </w:rPr>
        <w:t xml:space="preserve">Tekst u kurzivu je u cijelosti preuzet iz Kurikuluma za </w:t>
      </w:r>
      <w:r>
        <w:rPr>
          <w:rFonts w:cs="Calibri" w:ascii="Calibri" w:hAnsi="Calibri" w:asciiTheme="minorHAnsi" w:cstheme="minorHAnsi" w:hAnsiTheme="minorHAnsi"/>
          <w:b/>
          <w:sz w:val="28"/>
        </w:rPr>
        <w:t>Prirodu i društvo</w:t>
      </w:r>
      <w:r>
        <w:rPr>
          <w:rStyle w:val="Eop"/>
          <w:rFonts w:cs="Calibri" w:ascii="Calibri" w:hAnsi="Calibri" w:asciiTheme="minorHAnsi" w:cstheme="minorHAnsi" w:hAnsiTheme="minorHAnsi"/>
          <w:b/>
          <w:sz w:val="28"/>
        </w:rPr>
        <w:t>.</w:t>
      </w:r>
    </w:p>
    <w:p>
      <w:pPr>
        <w:pStyle w:val="Normal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tbl>
      <w:tblPr>
        <w:tblStyle w:val="TableGrid1"/>
        <w:tblW w:w="15735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1" w:lastColumn="0" w:noHBand="0" w:val="0480"/>
      </w:tblPr>
      <w:tblGrid>
        <w:gridCol w:w="2662"/>
        <w:gridCol w:w="2667"/>
        <w:gridCol w:w="2533"/>
        <w:gridCol w:w="1273"/>
        <w:gridCol w:w="159"/>
        <w:gridCol w:w="1270"/>
        <w:gridCol w:w="2518"/>
        <w:gridCol w:w="2652"/>
      </w:tblGrid>
      <w:tr>
        <w:trPr/>
        <w:tc>
          <w:tcPr>
            <w:tcW w:w="15734" w:type="dxa"/>
            <w:gridSpan w:val="8"/>
            <w:tcBorders/>
            <w:shd w:color="auto" w:fill="C5E0B3" w:themeFill="accent6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228" w:hanging="0"/>
              <w:jc w:val="center"/>
              <w:rPr>
                <w:rFonts w:eastAsia="Times New Roman" w:cs="Calibri" w:cstheme="minorHAnsi"/>
                <w:b/>
                <w:b/>
                <w:color w:val="C00000"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color w:val="C00000"/>
                <w:kern w:val="0"/>
                <w:sz w:val="28"/>
                <w:szCs w:val="24"/>
                <w:lang w:val="hr-HR" w:eastAsia="hr-HR" w:bidi="ar-SA"/>
              </w:rPr>
              <w:t>A. ORGANIZIRANOST SVIJETA OKO NAS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PID OŠ A.4.1. Učenik zaključuje o organiziranosti ljudskoga tijela i životnih zajednica.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Istražuje organiziranost biljaka i životinja na primjeru životne zajednice.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istražuje organiziranost biljaka i životinja na primjeru životne zajednice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Uz stalan poticaj, pomoć i jasno određene male spoznajne korake djelomično zaključuje o glavnim značajkama o staništima i povezanosti biljnoga i životinjskoga svijeta.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Prema konkretnim pojašnjenim primjerima uz dodatno navođenje kroz pitanja zaključuje o povezanosti staništa i biljnoga i životinjskoga svijeta. Uočava i uz podršku istražuje organiziranost  životnih zajednica s obzirom na životne uvjete koji u njima vladaju, uz kraće navođenje samostalno objašnjava.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Uz manji poticaj zaključuje o povezanosti staništa i biljnoga i životinjskoga svijeta. Uočava i istražuje organiziranost  životnih zajednica s obzirom na životne uvjete koji u njima vladaju, uz kraće navođenje samostalno objašnjava.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Istražuje i objašnjava povezanost staništa i biljnoga i životinjskoga svijeta te organiziranost životnih zajednica s obzirom na životne uvjete koji u njima vladaju.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životne uvjete u životnoj zajednici i povezuje ih s njezinom organiziranošću.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28"/>
                <w:szCs w:val="28"/>
                <w:lang w:val="hr-HR" w:eastAsia="en-US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razlikuje životne uvjete u životnoj zajednici i povezuje ih s njezinom organiziranošću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Zbog izrazito slabe nadogradnje znanja, nabraja životne uvjete uz pomoć, navodi ih prema predlošku za određenu životnu zajednicu, prepoznaje organiziranost te zajednice ukoliko se na to jasno ukaže primjerom.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Sudjeluje u izvanučioničkoj nastavi ili učenju otkrivanjem, promatranjem i uočavanjem glavnih životnih uvjeta u nekim životnim zajednicama koje su od prije dobro poznate (nadogradnja na sadržaje 3. r.), prema zadacima i navedenim osobitostima promatra staništa i osobitosti neke životne zajednice te povremeno zaključuje o organizaciji zajednica.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Tijekom izvanučioničke nastave ili učenja otkrivanjem putem medija (video, dokumentarna emisija) većinom samostalno uočava osobitosti i zaključuje o životnim uvjetima u nekoj životnoj zajednici, staništu i organiziranosti u nekoj životnoj zajednici.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  <w:lang w:val="en-US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en-US" w:eastAsia="en-US" w:bidi="ar-SA"/>
              </w:rPr>
              <w:t>Životnu zajednicu s lakoćom istražuje tijekom izvanučioničke nastave (ili video prikazima) gdje promatra stanište te proučava biljni i životinjski svijet koji obitava na njemu (šuma, travnjak, rijeka, jezero, more, bara, močvara i sl.). Samostalno izvodi zaključke o životnim uvjetima u određenoj životnoj zajednici te uočava i povezuje ih s organiziranošću istih.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Istražuje ljudsko tijelo kao cjelinu i dovodi u vezu zajedničku ulogu pojedinih dijelova tijela (organi i organski sustavi).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istražuje ljudsko tijelo kao cjelinu i dovodi u vezu zajedničku ulogu pojedinih dijelova tijela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Navodi glavne organe i sustave organa, ali teže povezuje i shvaća povezanost i djelovanje istih.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organe i organske sustave pojedinačno i kao cjelinu i pokazuje ih na modelu. Djelomično zaključuje o organizmu u cijelosti i povezanosti organa i organskih sustava.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Zaključuje o organima i organskim sustavim kao cjelini, ali ih i pojedinačno navodi i dovodi u vezu. Na prikazu ljudskoga tijela (crtež, model) objašnjava međusobnu povezanost svih sustava organa uz manje greške. 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 zanimanjem i razumijevanjem pristupa ljudskom tijelu kao cjelini te zaključuje o organima i organskim sustavima. Na prikazu ljudskoga tijela (crtež, model) objašnjava međusobnu povezanost svih sustava organa.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PID OŠ A.4.2. Učenik obrazlaže i prikazuje vremenski slijed događaja te organizira svoje vrijeme.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važnost organizacije vremena na vlastitim primjerima.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szCs w:val="22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važnost organizacije vremena na vlastitim primjerima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2"/>
                <w:lang w:val="hr-HR" w:eastAsia="en-US" w:bidi="ar-SA"/>
              </w:rPr>
              <w:t>Teže shvaća raspodjelu vremena i važnost organiziranja istoga jer su radne navike nedovoljno i nesustavno razvijane, što utječe na kvalitetno i organizirano vlastito vrijeme. Samostalno jako slabo objašnjava važnost organizacije vremena na vlastitim primjerima, daje kraće navode tek nakon pitanja i pomoći.</w:t>
            </w:r>
          </w:p>
        </w:tc>
        <w:tc>
          <w:tcPr>
            <w:tcW w:w="2702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Prema primjerima iz udžbenika ili primjerima ostalih suučenika uviđa važnost i način organiziranja vremena te uz pomoć i jasan plan objašnjava svoje glavne aktivnosti tijekom dana, to jest organizaciju svoga vremena.</w:t>
            </w:r>
          </w:p>
        </w:tc>
        <w:tc>
          <w:tcPr>
            <w:tcW w:w="251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Odabire predložene tehnike organizacije svoga vremena: vremensku crtu, raspored obveza, kalendar, podsjetnik i sl. U raspodjeli vremena potrebna je kratka uputa, ali većinom samostalno objašnjava važnost organizacije vremena prema vlastitim primjerima.</w:t>
            </w:r>
          </w:p>
        </w:tc>
        <w:tc>
          <w:tcPr>
            <w:tcW w:w="2652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2"/>
                <w:lang w:val="hr-HR" w:eastAsia="en-US" w:bidi="ar-SA"/>
              </w:rPr>
              <w:t>Samostalno organizira svoje vrijeme jer su radne navike sustavno razvijane. Bira i koristi tehnike organizacije vremena poput: vremenske crte, rasporeda obveza, kalendara, podsjetnika i sl.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Oblikuje i organizira svoje vrijeme, planira svoje slobodno vrijeme (predviđa potrebno vrijeme za pisanje domaće zadaće i vrijeme za igru).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oblikuje i organizira svoje vrijeme, planira svoje slobodno vrijeme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  <w:lang w:val="hr-BA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eastAsia="en-US" w:bidi="ar-SA"/>
              </w:rPr>
              <w:t>Potrebna stalna pomoć u planiranju, oblikovanju i organizaciji vremena, teže samostalno procjenjuje koliko je  vremena potrebno za pisanje domaće zadaće i npr. igru</w:t>
            </w: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BA" w:eastAsia="en-US" w:bidi="ar-SA"/>
              </w:rPr>
              <w:t xml:space="preserve"> te je u tome potreban stalni nadzor dok se ne uvježba pravilna organizacija vremena.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Djelomično oblikuje i organizira svoje vrijeme, planira svoje slobodno vrijeme uz unaprijed pripremljen i predložen raspored s trajanjem određenih aktivnosti. Takvim predloškom se stvara preduvjet za samostalnu organizaciju vremena.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i uz poneku uputu oblikuje i organizira svoje vrijeme, planira svoje slobodno vrijeme. Uglavnom samostalno procjenjuje potrebno vrijeme za pisanje domaće zadaće/učenje, rad na računalu, slobodne aktivnosti).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i samostalno  oblikuje i organizira svoje vrijeme, planira svoje slobodno vrijeme.  Prati i zapisuje aktivnosti tijekom dana/tjedna, uspoređuje trajanje pojedinih aktivnosti (domaća zadaća i učenje, korištenje računalom, igra, čitanje i sl.), predstavlja ih i prikazuje na različite načine.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ISHOD: PID OŠ A.4.3. Učenik objašnjava organiziranost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Republike Hrvatske i njezina nacionalna obilježja.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organiziranost Republike Hrvatske (predsjednik Republike Hrvatske, Vlada Republike Hrvatske, Hrvatski sabor) i istražuje njezine nacionalne simbole.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organiziranost republike hrvatske i istražuje njezine nacionalne simbole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iCs/>
                <w:sz w:val="24"/>
                <w:szCs w:val="24"/>
              </w:rPr>
            </w:pPr>
            <w:r>
              <w:rPr>
                <w:rFonts w:eastAsia="Calibri" w:cs="Calibri" w:cstheme="minorHAnsi"/>
                <w:iCs/>
                <w:kern w:val="0"/>
                <w:sz w:val="24"/>
                <w:szCs w:val="24"/>
                <w:lang w:val="hr-HR" w:eastAsia="en-US" w:bidi="ar-SA"/>
              </w:rPr>
              <w:t>Prepoznaje organiziranost Republike Hrvatske (predsjednik Republike Hrvatske, Vlada Republike Hrvatske, Hrvatski sabor) i djelomično nabraja njezine nacionalne simbole.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Djelomično opisuje organiziranost Republike Hrvatske (predsjednik Republike Hrvatske, Vlada Republike Hrvatske, Hrvatski sabor) i nabraja njezine nacionalne simbole.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navodi i opisuje uz manje upute organiziranost Republike Hrvatske (predsjednik Republike Hrvatske, Vlada Republike Hrvatske, Hrvatski sabor) i istražuje njezine nacionalne simbole.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Navodi, opisuje i objašnjava organiziranost Republike Hrvatske (predsjednik Republike Hrvatske, Vlada Republike Hrvatske, Hrvatski sabor) te opisuje i istražuje nacionalne simbole.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Čita geografsku kartu Republike Hrvatske pomoću tumača znakova, pokazuje na njemu reljefne oblike, mjesta, državne granice, navodi susjedne zemlje i sl.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bCs/>
                <w:sz w:val="28"/>
                <w:szCs w:val="28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čita geografsku kartu RH pomoću tumača znakova, pokazuje na njemu reljefne oblike, mjesta, državne granice, navodi susjedne zemlje i sl.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Djelomično se snalazi na geografskoj karti  Republike Hrvatske; slaba je nadogradnja znanja iz 3. razreda. Tumač znakova nije dovoljno uvježban, kao ni reljefni oblici, granice i slično. 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pomoć se snalazi na geografskoj karti Republike Hrvatske, s tim da je tumač znakova potrebno temeljito uvježbati, uz navođenje prepoznaje i imenuje državne granice i susjedne zemlje.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se snalazi na geografskoj karti Republike Hrvatske uz manje, nezamjetne greške, razlikuje reljefne oblike i zavičajne regije, čita tumač znakova, navodi državne granice i susjedne zemlje.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Odlično se snalazi na geografskoj karti  Republike Hrvatske te iščitava osobitosti reljefa, uspoređuje zavičaje pomoću reljefnih oblika, pokazuje i imenuje državne granice kao i susjedne države. 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color w:val="FF0000"/>
                <w:sz w:val="28"/>
              </w:rPr>
            </w:pPr>
            <w:r>
              <w:rPr>
                <w:rFonts w:eastAsia="Calibri" w:cs="Calibri" w:cstheme="minorHAnsi"/>
                <w:b/>
                <w:color w:val="FF0000"/>
                <w:kern w:val="0"/>
                <w:sz w:val="28"/>
                <w:szCs w:val="22"/>
                <w:lang w:val="hr-HR" w:eastAsia="en-US" w:bidi="ar-SA"/>
              </w:rPr>
              <w:t>B: PROMJENE  I  ODNOSI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ISHODI: PID OŠ B.4.1. Učenik vrednuje važnost odgovornoga odnosa prema sebi, drugima i prirodi.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svoj rast i razvoj i uočava promjene na sebi.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svoj rast i razvoj i uočava promjene na sebi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Prepoznaje promjene na svom rastu i razvoju, pubertet kao vrijeme tih promjena. Promjene koje se događaju na tijelu, kao i promjene u emotivnom razvoju teže poima, čak nakon i stručnog predavanja/radionice u suradnji s liječnikom školske medicine. 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Prepoznaje i djelomično uočava osobni rast i razvoj i promjene u pubertetu. Nakon predavanja školskog liječnika jasnije poima tjelesne i emotivne promjene, kao i važnost brige o osobnoj higijeni, tjelesnom i metalnom zdravlju.  Oblike zlostavljanja i nasilja opisuje tek uz poticaj. 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promjene u svome razvoju i rastu, određuje pubertet kao vrijeme promjena u tijelu djeteta, ali puno jasnije vlada pojmovima nakon predavanja školskog liječnika.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Objašnjava i opisuje promjene koje nastaju na tijelu u pubertetu, shvaća i nabraja vrste nasilja te predlaže načine kako ih spriječiti ili prijaviti. Jasnim primjerima objašnjava važnost brige o tjelesnom i metalnom zdravlju.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Odgovorno se ponaša prema sebi, drugima, svome zdravlju i zdravlju drugih.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odgovorno se ponaša prema sebi, drugima, svome zdravlju i zdravlju drugih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Potreban je stalan poticaj na odgovorno ponašanje prema svome zdravlju  i zdravlju drugih. Ekološka je svijest slabo razvijena, kao i svijest o važnosti mentalnoga i tjelesnog zdravlja. Higijenske navike nisu dovoljno razvijene.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Većinom se ponaša odgovorno prema sebi i drugima, svome zdravlju  drugih. Potrebno je dodatno razvijati ekološku osviještenost, kao i važnost brige za mentalno i tjelesno zdravlje.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Odgovorno se ponaša prema sebi, drugima, svome zdravlju i zdravlju drugih.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Ekološki je  osviješten. Uočava važnost brige za ljudsko zdravlje, prevencije nasilja, okružja za očuvanje tjelesnoga, ali i mentalnoga zdravlja uz kraći poticaj.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Izrazito se odgovorno i kvalitetno ponaša prema sebi, drugima, svome zdravlju i zdravlju drugih. Navodi i pojašnjava primjere redovitog održavanja higijene, mentalnog zdravlja, ekološke osviještenosti i slično.</w:t>
            </w:r>
          </w:p>
        </w:tc>
      </w:tr>
      <w:tr>
        <w:trPr/>
        <w:tc>
          <w:tcPr>
            <w:tcW w:w="9294" w:type="dxa"/>
            <w:gridSpan w:val="5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Zna komu se i kako obratiti ako je zabrinut zbog neprimjerenih sadržaja ili ponašanja u digitalnome okružju.</w:t>
            </w:r>
          </w:p>
        </w:tc>
        <w:tc>
          <w:tcPr>
            <w:tcW w:w="6440" w:type="dxa"/>
            <w:gridSpan w:val="3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Navedena sastavnica ishoda ne vrednuje se numerički, već se za nju vode pisane bilješke.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primjereno postupanje prema javnoj i privatnoj imovini.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primjereno postupanje prema javnoj i privatnoj imovini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Pojam vlasništva i imovine slabo poznaje i poima te se uz stalan nadzor, opetovanje pravila ponašanja i važnost poštivanja osobne i privatne imovine, djelomično javlja osjećaj brige za vlasništvo, kako svoje, tako i tuđe.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Potrebno je češće podsjećanje na odgovorno ponašanje prema javnoj i privatnoj imovini.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Pravilno se koristi javnom i privatnom imovinom, poštuje tuđu privatnost i ne rabi tuđe stvari bez pitanja. 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Svjesno pristupa javnim dobrima, opisuje i objašnjava važnost brige o javnoj i privatnoj imovini. Svoju osobnu imovinu čuva, tuđu ne rabi bez pitanja niti ju na bilo koji način ugrožava, upućuje suučenike u pravilno korištenje svoje i tuđe imovine, te na pravila lijepoga ponašanja i odnos prema tuđim stvarima.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Odgovorno se ponaša prema biljkama i životinjama u okolišu.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odgovorno se ponaša prema biljkama i životinjama u okolišu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Rijetko se odgovorno  ponaša prema biljkama i životinjama u okolišu, uz stalno ponavljanje i objašnjavanje važnosti okoliša i živih bića oko nas, te uz nadzor, djelomično poima važnost istoga.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Povremeno, ali češće ukoliko ima poticaj se odgovorno  ponaša prema biljkama i životinjama u okolišu.</w:t>
            </w:r>
          </w:p>
          <w:p>
            <w:pPr>
              <w:pStyle w:val="Normal"/>
              <w:widowControl/>
              <w:spacing w:lineRule="auto" w:line="240" w:before="0" w:after="0"/>
              <w:ind w:left="3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Odgovorno se ponaša prema biljkama i životinjama u okolišu.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Ekološka je osviještenost na visokoj razini, brižno i odgovorno se odnosi prema biljnom i životinjskom svijetu oko sebe. 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Opisuje važnost odgovornoga odnosa prema prirodi radi zaštite živoga svijeta. 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važnost odgovornoga odnosa prema prirodi radi zaštite živoga svijeta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Prepoznaje važnost odgovornoga odnosa prema prirodi radi zaštite živoga svijeta uz dodatne upute.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važnost odgovornoga odnosa prema prirodi radi zaštite živoga svijeta.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 većinom samostalno opisuje važnost odgovornoga odnosa prema prirodi radi zaštite živoga svijeta.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opisuje i objašnjava važnost odgovornoga odnosa prema prirodi radi zaštite živoga svijeta.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Procjenjuje utjecaj čovjeka na biljke i životinje te njegovu ulogu u očuvanju ugroženih i zaštićenih vrsta.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procjenjuje utjecaj čovjeka na biljke i životinje te njegovu ulogu u očuvanju ugroženih i zaštićenih vrsta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Tek uz konkretan, jasan i jednostavan primjer prepoznaje čovjekov utjecaj na život biljaka i životinja.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Prema primjeru suučenika ili uz poticaj od strane učitelja, povremeno uspješno procjenjuje o utjecaju ljudi na život biljaka i životinja, većinom se samostalno zadržavajući na jednostavnijim primjerima iz osobne stvarnosti (zalijevanje biljaka, briga o cvijeću, hranjenje životinja i ptica u blizini).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Zaključuje uz manji poticaj o djelovanju čovjeka na životinje i biljke te svjesnim djelovanjem (recikliranjem, brigom o biljkama i životinjama) pokazuje taj utjecaj zorno.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Uočava, procjenjuje i zaključuje o ljudskom utjecaju na živi svijet: pokazuje i primjenjuje odgovoran odnos prema prirodi; ponovno upotrebljava, razvrstava otpad, prepoznaje važnost vode, zraka i tla, brine se o biljkama i životinjama, ne bere proljetnice, zalijeva biljke, izrađuje hranilicu za ptice i slično. Imenuje i određuje staništa ugroženih vrsta.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ISHODI: PID OŠ B.4.2. Učenik analizira i povezuje životne uvjete i raznolikost živih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bića na različitim staništima te opisuje cikluse u prirodi.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Istražuje životne uvjete (zrak, tlo, voda, svjetlost, toplina).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istražuje životne uvjete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Nabraja životne uvjete, ali ih samostalno ne istražuje. 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Sljedeći jasne i kratke korake istražuje neke od životnih uvjeta kroz jednostavne pokuse.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Kroz unaprijed isplanirane pokuse istražuje životne uvjete (zrak, tlo, voda, svjetlost, toplina) te o njima zaključuje uz neka pitanja i poticaj.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veliko zanimanje i shvaćanje kroz razne pokuse, i u školi i u slobodno  vrijeme istražuje i zaključuje o životnim uvjetima (zrak, tlo, voda, svjetlost, toplina).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na primjerima utjecaj životnih uvjeta na organizme.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na primjerima utjecaj životnih uvjeta na organizme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Na gotovim primjerima djelomično prepoznaje utjecaj životnih uvjeta na organizme.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 jednostavnim primjerima prepoznaje utjecaj životnih uvjeta na organizme.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na primjerima utjecaj životnih uvjeta na organizme.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 konkretnom primjeru  opisuje i zaključuje o utjecaju pojedinih životnih uvjeta na organizme.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životne cikluse u prirodi (na primjeru biljke cvjetnjače) i kruženje vode u prirodi.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životne cikluse u prirodi (na primjeru biljke cvjetnjače) i kruženje vode u prirodi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Isključivo uz pomoć, na jasnom primjeru šturo opisuje životne cikluse i kruženje vode u prirodi vođen/vođena jasno određenim, jednoznačnim pitanjima.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Prema primjeru navodi životne cikluse i kruženje vode u prirodi. 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kraći poticaj u obliku dopune ili pitanja samostalno opisuje životne cikluse u prirodi i kruženje vode u prirodi.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Kroz pokuse ili edukativne video zapise samostalno, s lakoćom i jasnoćom, zaključuje i tumači o životnim ciklusima i kruženju vode u prirodi.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Opisuje životnu zajednicu (organizme koji žive na istome staništu) na primjeru iz neposrednoga okoliša i uspoređuje sa zajednicom iz drugoga područja.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životnu zajednicu na primjeru iz neposrednoga okoliša i uspoređuje sa zajednicom iz drugoga područja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Prepoznaje životnu zajednicu s poznatog staništa uz konkretan primjer. Ne uspoređuje ju s drugim životnim zajednicama istog ii različitog staništa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ne opisuje i ne uspoređuje, ali uz poticaj i pitanja, uspije jednim dijelom opisati životnu zajednicu istoga staništa i  djelomično usporediti sa zajednicom iz nekog drugog zavičaja i različitog staništa.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Nabraja, razlikuje i opisuje životnu zajednicu (organizme koji žive na istome staništu) na primjeru iz neposrednoga okoliša i uspoređuje sa zajednicom iz drugoga područja. 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Izvodi zaključke o hranidbene odnose unutar životne zajednice te ih objašnjava. Uspoređuje različite životne zajednice koje može istražiti i organizme koji su s njima povezane.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različitost vremenskih uvjeta s raznolikošću biljnoga i životinjskoga svijeta.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povezuje različitost vremenskih uvjeta s raznolikošću biljnoga i životinjskoga svijeta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val="en-US"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eastAsia="hr-HR" w:bidi="ar-SA"/>
              </w:rPr>
              <w:t xml:space="preserve">Prepoznaje 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en-US" w:eastAsia="hr-HR" w:bidi="ar-SA"/>
              </w:rPr>
              <w:t>različite vremenske uvjete, ali ih samostalno ne povezuje s raznolikošću biljnog i životinjskog svijeta.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vremenske uvjete i njihovu različitost s raznolikošću biljnoga i životinjskoga svijeta.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val="hr-BA"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eastAsia="hr-HR" w:bidi="ar-SA"/>
              </w:rPr>
              <w:t>Povezuje i opisuje različitost vremenskih uvjeta s raznolikošću biljnoga i životinjskoga svijeta.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Povezuje, opisuje i zaključuje o različitim vremenskim uvjetima te njihovom djelovanju na raznolikost biljnoga i životinjskoga svijeta.</w:t>
            </w:r>
          </w:p>
        </w:tc>
      </w:tr>
      <w:tr>
        <w:trPr/>
        <w:tc>
          <w:tcPr>
            <w:tcW w:w="2662" w:type="dxa"/>
            <w:tcBorders>
              <w:bottom w:val="single" w:sz="12" w:space="0" w:color="000000"/>
              <w:right w:val="double" w:sz="12" w:space="0" w:color="000000"/>
            </w:tcBorders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 primjerima opisuje prilagodbe biljaka i životinja na različite uvjete života.</w:t>
            </w:r>
          </w:p>
        </w:tc>
        <w:tc>
          <w:tcPr>
            <w:tcW w:w="2667" w:type="dxa"/>
            <w:tcBorders>
              <w:left w:val="doub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na primjerima opisuje prilagodbe biljaka i životinja na različite uvjete života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Na jednostavnom i konkretnom primjeru (jedan za biljku i 1 za životinju) uz jasne upute, postavljanjem jednoznačnih potanja sasvim djelomično i rudimentarno opisuje prilagodbe biljaka i životinja na različite uvjete života.</w:t>
            </w:r>
          </w:p>
        </w:tc>
        <w:tc>
          <w:tcPr>
            <w:tcW w:w="2702" w:type="dxa"/>
            <w:gridSpan w:val="3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Isključivo na konkretnom primjeru uz potpitanja i vođenje opisuje prilagodbe biljaka i životinja na različite uvjete života.</w:t>
            </w:r>
          </w:p>
        </w:tc>
        <w:tc>
          <w:tcPr>
            <w:tcW w:w="2518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 navedenom primjeru iz udžbenika ili neposredne stvarnosti (plakat, video, primjer s izvanučioničke nastave) opisuje prilagodbe biljaka na različite uvjete života uz manji poticaj.</w:t>
            </w:r>
          </w:p>
        </w:tc>
        <w:tc>
          <w:tcPr>
            <w:tcW w:w="2652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Nabraja i opisuje ili objašnjava  primjere biljaka i životinja i njihove načine prilagodbe na različite uvjete: široki i mesnati listovi kod biljaka, krzno/dlaka/perje kod životinja i slično bez pomoći, točno i jasno. </w:t>
            </w:r>
          </w:p>
        </w:tc>
      </w:tr>
      <w:tr>
        <w:trPr/>
        <w:tc>
          <w:tcPr>
            <w:tcW w:w="15734" w:type="dxa"/>
            <w:gridSpan w:val="8"/>
            <w:tcBorders>
              <w:top w:val="sing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ISHODI: PID OŠ B.4.3. Učenik se snalazi u promjenama i odnosima u vremenu te pripovijeda povijesnu priču o prošlim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događajima i o značajnim osobama iz zavičaja i/ili Republike Hrvatske.</w:t>
            </w:r>
          </w:p>
        </w:tc>
      </w:tr>
      <w:tr>
        <w:trPr>
          <w:trHeight w:val="169" w:hRule="atLeast"/>
        </w:trPr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Prikuplja informacije i istražuje o odnosima prirodnih i društvenih pojava.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prikuplja informacije i istražuje o odnosima prirodnih i društvenih pojava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Djelomično opisuje prema konkretnom primjeru odnose prirodnih i društvenih pojava. Samostalno slabo istražuje i uz navođenje i gotov plan.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Istražuje uz jasno razrađene upute i plan  te uz vodstvo učitelja o odnosima prirodnih i društvenih pojava.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Koristeći se različitim izvorima informacija, objašnjava promjene i odnose prirodnih i društvenih pojava u vremenu i njihov utjecaj na sadašnjost te ih prikazuje. Pri tome traži poticaj u obliku dodatnih uputa ili pojašnjenja rada s nekim izvorima znanja.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Samostalno bira različite materijale i izvore znanja te zaključuje o promjenama i objašnjava promjene i odnose prirodnih i društvenih pojava u vremenu i njihov utjecaj na sadašnjost te ih prikazuje.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Istražuje o značajnim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osobama i događajima u domovini, povezuje ih s kulturno-povijesnim spomenicima, smješta u vremenske okvire te pokazuje na vremenskoj crti ili lenti vremena (vrijeme doseljenja Hrvata, najznačajniji vladari – Tomislav, Krešimir, Zvonimir, Bašćanska ploča, početak Domovinskoga rata, osamostaljenje Republike Hrvatske, ulazak Republike Hrvatske u Europsku uniju).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 xml:space="preserve">istražuje o značajnim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osobama i događajima u domovini, povezuje ih s kulturno-povijesnim spomenicima, smješta u vremenske okvire te pokazuje na vremenskoj crti ili lenti vremena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Značajne osobe i događaje sasvim djelomično povezuje s kulturno-povijesnim spomenicima, slabije vlada snalaženjem na vremenskoj lenti/crti te značajne događaje i osobe smješta metodom pokušaja i pogrešaka. Potrebno je stalno i kontinuirano raditi i razvijati logičko razmišljanje i kritičko zaključivanje. Većinom usvaja sadržaje na razini rudimentarne reprodukcije.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Povremeno samostalno, ali većinom uz poticaj i jednostavnije zadatke Istražuje o značajnim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osobama i događajima u domovini, djelomično ih povezuje s kulturno-povijesnim spomenicima, smješta u vremenske okvire te pokazuje na vremenskoj crti ili lenti vremena uz pomoć.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Uglavnom samostalno Istražuje o značajnim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osobama i događajima u domovini, povezuje ih s kulturno-povijesnim spomenicima, smješta u vremenske okvire te pokazuje na vremenskoj crti ili lenti vremena uz manje greške.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S lakoćom istražuje o značajnim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osobama i događajima u domovini, povezuje ih s kulturno-povijesnim spomenicima, smješta u vremenske okvire te pokazuje na vremenskoj crti ili lenti vremena.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utjecaj istraženih događaja, osoba i promjena na sadašnji život čovjeka.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utjecaj istraženih događaja, osoba i promjena na sadašnji život čovjeka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Teže dovodi u vezu događaje iz prošlosti sa životom hrvatskoga naroda u sadašnjosti. 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uz pomoć djelomično objašnjava utjecaj istraženih događaja, osoba i promjena na sadašnji život čovjeka.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manje greške objašnjava utjecaj istraženih događaja, osoba i promjena na sadašnji život čovjeka.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Uspoređuje i objašnjava  promjene nastale u sadašnjem životu pojedinca kroz povijest hrvatskoga naroda uspješno i bez greške.  Daje konkretan primjer iz prošlosti (npr. Domovinski rat) i navodi promjene.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ListParagraph"/>
              <w:widowControl/>
              <w:spacing w:lineRule="auto" w:line="240" w:before="0" w:after="0"/>
              <w:ind w:left="37" w:hanging="0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Uspoređuje  na istraženim primjerima, odnose i promjene u prošlosti, sadašnjosti u zavičaju i/ili Republici Hrvatskoj i predviđa moguće odnose i promjene u budućnosti.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uspoređuje, na istraženim primjerima, odnose i promjene u prošlosti, sadašnjosti u zavičaju i/ili RH i predviđa moguće odnose i promjene u budućnosti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Prilično teško prema navedenom primjeru iz udžbenika ili primjeru ostalih suučenika uočava odnose i promjene u prošlosti, sadašnjosti u zavičaju i/ili Republici Hrvatskoj.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Prema navedenom primjeru iz udžbenika ili primjeru ostalih suučenika uočava odnose i promjene u prošlosti, sadašnjosti u zavičaju i/ili Republici Hrvatskoj.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 razini automatizacije, ali s razumijevanjem uspoređuje na istraženim primjerima, odnose i promjene u prošlosti, sadašnjosti u zavičaju i/ili Republici Hrvatskoj.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 uspoređuje, na istraženim primjerima, odnose i promjene u prošlosti, sadašnjosti u zavičaju i/ili Republici Hrvatskoj.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Razumije i objašnjava da je hrvatska prošlost duga i bogata povijesnim događajima, da su ju obilježile mnoge značajne osobe po kojima su imenovane ulice i trgovi, škole. Kritički promišlja i predviđa moguće odnose i promjene u budućnosti.</w:t>
            </w:r>
          </w:p>
        </w:tc>
      </w:tr>
      <w:tr>
        <w:trPr/>
        <w:tc>
          <w:tcPr>
            <w:tcW w:w="15734" w:type="dxa"/>
            <w:gridSpan w:val="8"/>
            <w:tcBorders>
              <w:top w:val="sing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ISHODI: PID OŠ B.4.4. Učenik se snalazi i tumači geografsku kartu i zaključuje o međuodnosu reljefnih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obilježja krajeva Republike Hrvatske i načina života.</w:t>
            </w:r>
          </w:p>
        </w:tc>
      </w:tr>
      <w:tr>
        <w:trPr>
          <w:trHeight w:val="169" w:hRule="atLeast"/>
        </w:trPr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ListParagraph"/>
              <w:widowControl/>
              <w:spacing w:lineRule="auto" w:line="240" w:before="0" w:after="0"/>
              <w:ind w:left="37" w:hanging="0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Snalazi se na geografskoj karti, istražuje i uspoređuje različita prirodna obilježja krajeva Republike Hrvatske koja uvjetuju način života toga područja (npr. izgled naselja, izgled ulica, materijali za gradnju, gospodarske djelatnosti/zanimanja određenoga područja).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snalazi se na geografskoj karti, istražuje i uspoređuje različita prirodna obilježja krajeva republike hrvatske koja uvjetuju način života toga područja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Snalazi se na karti u isključivo jednostavnim zadacima: pokazuje krajeve Republike Hrvatske, ali samostalno ne zaključuje, niti istražuje ni uspoređuje različita prirodna obilježja krajeva Republike Hrvatske koja uvjetuju način života toga područja.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Čita i uz pomoć snalazi se na geografskoj karti te prepoznaje međuodnos reljefnih obilježja krajeva Republike Hrvatske i načina života.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kratke dopune samostalno se snalazi  na geografskoj karti, istražuje i uspoređuje različita prirodna obilježja krajeva Republike Hrvatske koja uvjetuju način života toga područja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reljefna obilježja Republike Hrvatske i uočava prometnu povezanost, opisuje reljefna obilježja Republike Hrvatske, uočava prometnu povezanost, procjenjuje udaljenost određenih mjesta u različitim zavičajima. Prema reljefnim cjelinama zaključuje o izgledu naselja, gospodarstvu i načinima gradnje, kao i privikavanju na određene životne uvjete nekog zavičaja/reljefnog područja.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color w:val="C00000"/>
                <w:sz w:val="28"/>
              </w:rPr>
            </w:pP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C: POJEDINAC  I  DRUŠTVO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ISHOD: PID OŠ C.4.1. Učenik obrazlaže ulogu, utjecaj i važnost povijesnoga nasljeđa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te prirodnih i društvenih različitosti domovine na razvoj nacionalnoga identiteta.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ulogu nacionalnih simbola/obilježja.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ulogu nacionalnih simbola/obilježja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Prepoznaje ulogu nacionalnih simbola/obilježja. Nabraja ih uz poticaj.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Nabraja i djelomično objašnjava kratkim odgovorima/rečenicama  ulogu nacionalnih simbola/obilježja.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ulogu nacionalnih simbola/obilježja.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Razlikuje, opisuje i objašnjava ulogu nacionalnih simbola/obilježja.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Raspravlja o svojoj ulozi i povezanosti s domovinom prema događajima, interesima, vrijednostima.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raspravlja o svojoj ulozi i povezanosti s domovinom prema događajima, interesima, vrijednostima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Prepoznaje sebe kao pojedinca unutar domovine i djelomično uviđa kako se može razvijati povezanost prema domovini, njenim interesima i vrijednostima. 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Povremeno navodi na koji način iskazuje i razvija povezanost s domovinom. 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uz manji poticaj navodi primjere razvijanja povezanosti prema domovini, razvoju interesa i vrijednosti.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Pokazuje i primjerima objašnjava povezanost s domovinom prema događajima koji se obilježavaju u obitelji te opisuje na koji se način razvijaju vrijednosti i interesi prema domovini (obilježavanje državnih blagdana, sjećanja na žrtve Domovinskoga rata i slično).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Istražuje prirodnu i društvenu raznolikost, posebnost i prepoznatljivost domovine koristeći se različitim izvorima. 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istražuje prirodnu i društvenu raznolikost, posebnost i prepoznatljivost domovine koristeći se različitim izvorima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U tragovima prepoznaje prirodnu i društvenu raznolikost, posebnost i prepoznatljivost domovine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prirodnu i društvenu raznolikost, posebnost i prepoznatljivost domovine.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prepoznaje i opisuje prirodnu i društvenu raznolikost, posebnost i prepoznatljivost domovine uz pomoć lako dostupnih izvora (udžbenik, multimedija i slično).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Svakodnevno se zanima za prirodnu i društvenu raznolikost, posebnost i prepoznatljivost domovine. Služi se različitim dostupnim izvorima te samostalno predlaže i izlaže o ljepotama i raznolikosti domovine.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Objašnjava povezanost baštine s identitetom domovine te ulogu baštine za razvoj i očuvanje nacionalnoga identiteta. 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povezanost baštine s identitetom domovine te ulogu baštine za razvoj i očuvanje nacionalnoga identiteta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Teže shvaća pojam kulturne baštine. Uz konkretne primjere i nabrajanje od strane učitelja ili ostalih suučenika, sasvim djelomično povezuje ulogu baštine za razvoj i očuvanje nacionalnoga identiteta.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kulturnu baštinu s identitetom domovine na razini reprodukcije. Nakon detaljnih i dodatnih pojašnjenja prepoznaje ulogu baštine za razvoj i očuvanje nacionalnoga identiteta.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objašnjava uz manju nadopunu od strane učitelja povezanost baštine s identitetom domovine te ulogu baštine za razvoj i očuvanje nacionalnoga identiteta.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 lakoćom i razumijevanjem objašnjava povezanost baštine s identitetom domovine te ulogu baštine za razvoj i očuvanje nacionalnoga identiteta.</w:t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8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na primjerima načine zaštite i očuvanja prirodne, kulturne i povijesne baštine domovine.</w:t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na primjerima načine zaštite i očuvanja prirodne, kulturne i povijesne baštine domovine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Isključivo na pojašnjenom primjeru sasvim oskudno prepoznaje načine zaštite i očuvanja prirodne, kulturne i povijesne baštine domovine.</w:t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na primjerima načine zaštite i očuvanja prirodne, kulturne i povijesne baštine domovine.</w:t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manje greške, navodi i objašnjava manji broj primjera i načine zaštite i očuvanja prirodne, kulturne i povijesne baštine domovine.</w:t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Navodi primjere i načine zaštite i očuvanja prirodne, kulturne i povijesne baštine domovine. bez pomoći i navođenja, točno, jasno i argumentirano.</w:t>
            </w:r>
          </w:p>
        </w:tc>
      </w:tr>
      <w:tr>
        <w:trPr/>
        <w:tc>
          <w:tcPr>
            <w:tcW w:w="15734" w:type="dxa"/>
            <w:gridSpan w:val="8"/>
            <w:tcBorders>
              <w:top w:val="single" w:sz="12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ISHOD: PID OŠ C.4.2. Učenik zaključuje o utjecaju prava i dužnosti na pojedinca i zajednicu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te o važnosti slobode za pojedinca i društvo.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Istražuje odnose i ravnotežu između prava i dužnosti, uzroke i posljedice postupaka.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istražuje odnose i ravnotežu između prava i dužnosti, uzroke i posljedice postupaka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Buni se u razvrstavanju prava i dužnosti, tako da samostalno teško razaznaje ravnotežu između prava i dužnosti, uzroka i posljedica postupaka.</w:t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uz poticaj razlikuje prava i dužnosti, ali ravnotežu između prava i dužnosti, uzroke i posljedice postupaka djelomično pojašnjava tek uz pomoć, dodatna pitanja, pojašnjenja i upute.</w:t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istražuje odnose i ravnotežu između prava i dužnosti, uzroke i posljedice postupaka uz manje dopune.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Objašnjava, istražuje i zaključuje o odnosima i ravnoteži između prava i dužnosti, uzroka i posljedica postupaka.</w:t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Raspravlja o važnosti jednakosti prava i slobode svakoga pojedinca uz poštivanje tuđih sloboda.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raspravlja o važnosti jednakosti prava i slobode svakoga pojedinca uz poštivanje tuđih sloboda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Uz jasno i dodatno ponovljene upute te pojašnjenja o pravima i slobodi svakog pojedinca uz poštivanje tuđih sloboda nejasno poima važnost jednakosti prava i slobode svakoga.</w:t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važnost jednakosti prava i slobode svakoga pojedinca uz poštivanje tuđih sloboda.</w:t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Raspravlja o važnosti jednakosti prava i slobode svakoga pojedinca uz poštivanje tuđih sloboda.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Raspravlja i zaključuje o važnosti jednakosti prava i slobode svakoga pojedinca uz poštivanje tuđih sloboda.</w:t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Pokazuje solidarnost prema članovima zajednice.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pokazuje solidarnost prema članovima zajednice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Uz jasno određen zadatak pokazuje solidarnost prema članovima zajednice.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Pokazuje solidarnost prema članovima zajednice u dobrotvornim akcijama koje se organiziraju u školi.</w:t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Pokazuje solidarnost prema članovima zajednice, uključuje se u razne akcije.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Iskazuje i primjerima pokazuje empatiju i solidarnost prema članovima zajednice (volontiranje u školi, susjedstvu, prijedlozi i inicijativa u solidarnosti, dobrotvorne akcije i slično).</w:t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Raspravlja o pravima djece.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raspravlja o pravima djece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Nabraja nekoliko prava djece uz pomoć.</w:t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prava djece i djelomično raspravlja o njima unutar razreda.</w:t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raspravlja o pravima djece u unaprijed pripremljenoj raspravi.</w:t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ukazuje na ugroženost dječjih prava, kao i ne poštivanje obveza, i argumentirano raspravlja o pravima djece.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Raspravlja o (ne)poštivanju ljudskih prava i prava djece.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raspravlja o (ne)poštivanju ljudskih prava i prava djece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Na konkretnom primjeru prepoznaje uz poticaj (ne)poštivanje ljudskih prava i prava djece</w:t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Povremeno raspravlja o (ne)poštivanju ljudskih prava i prava djece.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uz manji poticaj raspravlja o (ne)poštivanju ljudskih prava i prava djece</w:t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Daje primjere za (ne)poštivanje ljudskih prava i prava djece (zanemarena i napuštena djeca, djeca Afrike i Azije), zaključuje o važnosti djelovanja da se ugroženost djece i njihovih prava smanji.</w:t>
            </w:r>
          </w:p>
        </w:tc>
      </w:tr>
      <w:tr>
        <w:trPr/>
        <w:tc>
          <w:tcPr>
            <w:tcW w:w="9135" w:type="dxa"/>
            <w:gridSpan w:val="4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Uvažava različitosti i razvija osjećaj tolerancije.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Predlaže načine rješavanja i sprečavanja nastanka problema.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Odgovorno se ponaša prema zdravlju, okolišu i u primjeni IKT-a.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Raspravlja o važnosti digitalnoga identiteta i utjecaja digitalnih tragova.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Štiti svoje osobne podatke te poštuje tuđe vlasništvo i privatnost.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Promišlja o prisutnosti demokratskih vrijednosti u zajednicama kojih je dio te promiče demokratske vrijednosti u svome okružju.</w:t>
            </w:r>
          </w:p>
        </w:tc>
        <w:tc>
          <w:tcPr>
            <w:tcW w:w="6599" w:type="dxa"/>
            <w:gridSpan w:val="4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Ostvarivanje navedenih ishoda vrednuje se ocjenom „odličan“ dok se djelomično ostvarivanje ili pak neostvarivanje ne vrednuje brojčanom ocjenom već se prati putem bilješki te se učenika potiče na njihovo ostvarivanje.</w:t>
            </w:r>
          </w:p>
        </w:tc>
      </w:tr>
      <w:tr>
        <w:trPr/>
        <w:tc>
          <w:tcPr>
            <w:tcW w:w="15734" w:type="dxa"/>
            <w:gridSpan w:val="8"/>
            <w:tcBorders>
              <w:top w:val="single" w:sz="12" w:space="0" w:color="000000"/>
              <w:bottom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PID OŠ C.4.3. Učenik objašnjava povezanost prirodnoga i društvenoga okružja s gospodarstvom Republike Hrvatske.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Opisuje povezanost prirodnoga i društvenoga okružja s gospodarskim djelatnostima u Republici Hrvatskoj.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povezanost prirodnoga i društvenoga okružja s gospodarskim djelatnostima u RH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 xml:space="preserve">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Prepoznaje prema jasnom primjeru povezanost prirodnoga i društvenoga okružja s gospodarskim djelatnostima u Republici Hrvatskoj.</w:t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Povezuje prirodno i društveno okružje s gospodarskim djelatnostima u Republici Hrvatskoj.</w:t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Razlikuje i uviđa odnos i povezanost prirodnoga i društvenoga okružja s gospodarskim djelatnostima u Republici Hrvatskoj (objašnjava razvoj određenih djelatnosti u određenom kraju RH prema prirodnom i društvenom okružju).</w:t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Ralikuje, opisuje i objašnjava uvjetovanost i povezanost prirodnoga i društvenoga okružja s gospodarskim djelatnostima u Republici Hrvatskoj (povezuje reljefne cjeline s razvojem određenih djelatnosti, zaključuje o razvoju gospodarstva i promjenama koje se događaju).</w:t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ulogu i utjecaj prirodnoga i društvenoga okružja na gospodarstvo Republike Hrvatske.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objašnjava ulogu i utjecaj prirodnoga i društvenoga okružja na gospodarstvo RH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 xml:space="preserve">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Isključivo uz jasan primjer, većinom temeljen na načelu zavičajnosti, djelomično i nepovezano prepoznaje ulogu i utjecaj prirodnoga i društvenoga okružja na gospodarstvo Republike Hrvatske.</w:t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Prepoznaje, ali samostalno teže objašnjava ulogu i utjecaj prirodnoga i društvenoga okružja na gospodarstvo Republike Hrvatske.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Jasno uz primjere, povremeno uz  kratak poticaj, objašnjava ulogu i utjecaj prirodnoga i društvenoga okružja na gospodarstvo Republike Hrvatske.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Konkretnim primjerima objašnjava ulogu i utjecaj prirodnoga i društvenoga okružja na gospodarstvo Republike Hrvatske te zaključuje o razvoju i rastu istoga.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važnost različitih zanimanja i djelatnosti i njihov utjecaj na gospodarstvo Republike Hrvatske.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važnost različitih zanimanja i djelatnosti i njihov utjecaj na gospodarstvo RH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 xml:space="preserve">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Djelomično i nakon primjera prepoznaje važnost različitih zanimanja i djelatnosti i njihov utjecaj na gospodarstvo Republike Hrvatske.</w:t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važnost različitih zanimanja i djelatnosti i njihov utjecaj na gospodarstvo Republike Hrvatske.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razlikuje važnost različitih zanimanja i djelatnosti i njihov utjecaj na gospodarstvo Republike Hrvatske.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i objašnjava važnost različitih zanimanja i djelatnosti i njihov utjecaj na gospodarstvo Republike Hrvatske.</w:t>
            </w:r>
          </w:p>
        </w:tc>
      </w:tr>
      <w:tr>
        <w:trPr/>
        <w:tc>
          <w:tcPr>
            <w:tcW w:w="2662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važnost poduzetnosti i inovativnosti za razvoj zajednice (i pojedinca) i uključuje se u aktivnosti koje ih promiču.</w:t>
            </w:r>
          </w:p>
        </w:tc>
        <w:tc>
          <w:tcPr>
            <w:tcW w:w="2667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„o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bjašnjava važnost poduzetnosti i inovativnosti za razvoj zajednice (i pojedinca) i uključuje se u aktivnosti koje ih promiču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 xml:space="preserve">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2533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Nakon jasno pojašnjenog pojma poduzetnosti i inovativnosti, uz pomoć prepoznaje važnost razvoja istih.</w:t>
            </w:r>
          </w:p>
        </w:tc>
        <w:tc>
          <w:tcPr>
            <w:tcW w:w="2702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važnost poduzetnosti i inovativnosti i vrijednosti rada.</w:t>
            </w:r>
          </w:p>
        </w:tc>
        <w:tc>
          <w:tcPr>
            <w:tcW w:w="2518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i objašnjava važnost poduzetnosti i inovativnosti za razvoj zajednice (i pojedinca) i uključuje se u aktivnosti koje ih promiču.</w:t>
            </w:r>
          </w:p>
        </w:tc>
        <w:tc>
          <w:tcPr>
            <w:tcW w:w="2652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Opisuje, objašnjava i zaključuje o važnosti poduzetnosti i inovativnosti za razvoj zajednice i pojedinca, uključuje se u aktivnosti koje ih promiču (daje primjere i predlaže projekte ili se unutar već postojećeg projekata aktivno uključuje i ističe radom i poduzetnošću).</w:t>
            </w:r>
          </w:p>
        </w:tc>
      </w:tr>
      <w:tr>
        <w:trPr/>
        <w:tc>
          <w:tcPr>
            <w:tcW w:w="9135" w:type="dxa"/>
            <w:gridSpan w:val="4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Objašnjava i navodi primjere važnosti i vrijednosti rada za razvoj pojedinca i zajednice.</w:t>
            </w:r>
          </w:p>
        </w:tc>
        <w:tc>
          <w:tcPr>
            <w:tcW w:w="6599" w:type="dxa"/>
            <w:gridSpan w:val="4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Navedena sastavnica ishoda ne vrednuje se numerički, već se za nju vode pisane bilješke.</w:t>
            </w:r>
          </w:p>
        </w:tc>
      </w:tr>
      <w:tr>
        <w:trPr/>
        <w:tc>
          <w:tcPr>
            <w:tcW w:w="9135" w:type="dxa"/>
            <w:gridSpan w:val="4"/>
            <w:tcBorders>
              <w:bottom w:val="single" w:sz="12" w:space="0" w:color="000000"/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Predlaže načine poboljšanja kvalitete života u zajednici.</w:t>
            </w:r>
          </w:p>
        </w:tc>
        <w:tc>
          <w:tcPr>
            <w:tcW w:w="6599" w:type="dxa"/>
            <w:gridSpan w:val="4"/>
            <w:tcBorders>
              <w:left w:val="doub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4"/>
                <w:lang w:val="hr-HR" w:eastAsia="hr-HR" w:bidi="ar-SA"/>
              </w:rPr>
              <w:t>Navedena sastavnica ishoda ne vrednuje se numerički, već se za nju vode pisane bilješke.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color w:val="C00000"/>
                <w:sz w:val="28"/>
              </w:rPr>
            </w:pP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D: ENERGIJA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ISHOD: PID OŠ D.4.1. Učenik opisuje prijenos, pretvorbu i povezanost energije u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životnim ciklusima i ciklusima tvari u prirodi.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na primjeru načine prijenosa, pretvorbe i povezanost energije u procesima rasta i razvoja živoga bića, u hranidbenim odnosima i kruženju vode u prirodi.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3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na primjeru načine prijenosa, pretvorbe i povezanost energije u procesima rasta i razvoja živoga bića, u hranidbenim odnosima i kruženju vode u prirodi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 xml:space="preserve">“ 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>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Samostalno ne opisuje na primjeru načine prijenosa, pretvorbe i povezanost energije u procesima rasta i razvoja živoga bića, u hranidbenim odnosima i kruženju vode u prirodi. Tek uz obrazložene primjere i opise prepoznaje načine prijenosa, dajući šture odgovore.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Prema primjerima iz udžbenika (naučenim, svoje primjere ne iznosi) prepoznaje i djelomično opisuje načine prijenosa, pretvorbe i povezanost energije u procesima rasta i razvoja živoga bića, u hranidbenim odnosima i kruženju vode u prirodi.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povremeni poticaj opisuje na primjeru načine prijenosa (toplina prelazi s jednoga tijela na drugo), pretvorbe i povezanost energije u procesima rasta i razvoja živoga bića, u hranidbenim odnosima i kruženju vode u prirodi.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i objašnjava  različite primjere načina prijenosa (toplina prelazi s jednoga tijela na drugo), pretvorbe (mijenja oblik) i povezanost energije u procesima rasta i razvoja živoga bića, u hranidbenim odnosima i kruženju vode u prirodi.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Opisuje načine primjene energije koju hranom unosimo u svoj organizam.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načine primjene energije koju hranom unosimo u svoj organizam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 xml:space="preserve">“ 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>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 xml:space="preserve">Šturo i s nerazumijevanjem opisuje  načine primjene energije koju hranom unosimo u svoj organizam.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načine primjene energije koju hranom unosimo u svoj organizam uz stalno navođenje i pomoć.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načine primjene energije koju hranom unosimo u svoj organizam uz manje greške.</w:t>
            </w:r>
          </w:p>
          <w:p>
            <w:pPr>
              <w:pStyle w:val="Normal"/>
              <w:widowControl/>
              <w:spacing w:lineRule="auto" w:line="240" w:before="0" w:after="0"/>
              <w:ind w:left="228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i objašnjava načine primjene energije koju hranom unosimo u svoj organizam: upotreba energije koju hranom unosimo u svoj organizam npr. za zagrijavanje tijela, učenje, tjelesne aktivnosti, ujedno objašnjava važnost pravilne i zdrave prehrane.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da se zelene biljke koriste Sunčevom energijom pri čemu proizvode hranu i kisik.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da se zelene biljke koriste sunčevom energijom pri čemu proizvode hranu i kisik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 xml:space="preserve">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Metodom pokušaja i pogrešaka opisuje da se zelene biljke koriste Sunčevom energijom pri čemu proizvode hranu i kisik.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greške opisuje da se zelene biljke koriste Sunčevom energijom pri čemu proizvode hranu i kisik.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Uspješno opisuje da se zelene biljke koriste Sunčevom energijom pri čemu proizvode hranu i kisik, uz manju nesigurnost pri opisivanju, što traži poticaj učitelja.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Shvaća i objašnjava proces fotosinteze na primjeru, detaljno opisuje djelovanje Sunčeve nergije na zelene biljke, pri čemu one proizvode hranu i kisik.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Navodi primjere hranidbenih odnosa organizama iz neposrednoga okoliša.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/>
                <w:i/>
                <w:iCs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kern w:val="0"/>
                <w:sz w:val="24"/>
                <w:lang w:val="hr-HR" w:bidi="ar-SA"/>
              </w:rPr>
              <w:t xml:space="preserve">Učenik ne ostvaruje sastavnicu ishoda 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navodi primjere hranidbenih odnosa organizama iz neposrednoga okoliša</w:t>
            </w:r>
            <w:r>
              <w:rPr>
                <w:rFonts w:cs="Calibri" w:cstheme="minorHAnsi"/>
                <w:i/>
                <w:kern w:val="0"/>
                <w:sz w:val="24"/>
                <w:lang w:val="hr-HR" w:bidi="ar-SA"/>
              </w:rPr>
              <w:t xml:space="preserve">“ </w:t>
            </w:r>
            <w:r>
              <w:rPr>
                <w:rFonts w:cs="Calibri" w:cstheme="minorHAnsi"/>
                <w:kern w:val="0"/>
                <w:sz w:val="24"/>
                <w:lang w:val="hr-HR" w:bidi="ar-SA"/>
              </w:rPr>
              <w:t>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Prema konkretnom hranidbenom lancu opisuje odnos unutar hranidbenog lanca/odnosa iz neposrednog okoliša.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Primjerom iz neposrednoga okoliša uz povremeni poticaj ili pomoć učitelja opisuje primjer hranidbenog odnosa.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i navodi primjer i jednostavnijih i složenih hranidbenih odnosa organizama iz neposrednoga okoliša.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utjecaj različitih načina primjene energije na okoliš (primjeri zagađenja okoliša).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utjecaj različitih načina primjene energije na okoliš (primjeri zagađenja okoliša)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 xml:space="preserve">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Tek uz primjer i pomoć učitelja djelomično opisuje utjecaj različitih načina primjene energije na okoliš (primjeri zagađenja okoliša).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Jednostavnim rečenicama i uz dodatni poticaj opisuje utjecaj različitih načina primjene energije na okoliš (primjeri zagađenja okoliša).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 vidljivih primjera opisuje utjecaj različitih načina primjene energije na okoliš (primjeri zagađenja okoliša).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Ekološka je osviještenost na visokoj razini (razvrstava i reciklira) te primjerima (tvornice, automobilska industrija i slično) opisuje i objašnjava utjecaj različitih načina primjena energije na okoliš.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povezanost energije s promjenama stanja tvari i procesima.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prepoznaje povezanost energije s promjenama stanja tvari i procesima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 xml:space="preserve">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Sasvim djelomično prepoznaje povezanost energije s promjenama stanja tvari i procesima.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povezanost energije s promjenama stanja tvari i procesima.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i opisuje povezanost energije s promjenama stanja tvari i procesima.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Prepoznaje, opisuje, objašnjava i zaključuje o  povezanosit energije s promjenama stanja tvari i procesima.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utjecaj energije na život i rad ljudi i društva te istražuje kako se nekad živjelo s obzirom na izvore energije i povezuje to s važnim izumima tijekom povijesti.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</w:t>
            </w:r>
            <w:r>
              <w:rPr>
                <w:rFonts w:eastAsia="Times New Roman" w:cs="Calibri" w:cstheme="minorHAnsi"/>
                <w:i/>
                <w:iCs/>
                <w:kern w:val="0"/>
                <w:sz w:val="24"/>
                <w:szCs w:val="24"/>
                <w:lang w:val="hr-HR" w:eastAsia="hr-HR" w:bidi="ar-SA"/>
              </w:rPr>
              <w:t>opisuje utjecaj energije na život i rad ljudi i društva te istražuje kako se nekad živjelo s obzirom na izvore energije i povezuje to s važnim izumima tijekom povijesti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 xml:space="preserve">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iCs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iCs/>
                <w:kern w:val="0"/>
                <w:sz w:val="24"/>
                <w:szCs w:val="24"/>
                <w:lang w:val="hr-HR" w:eastAsia="hr-HR" w:bidi="ar-SA"/>
              </w:rPr>
              <w:t>Prepoznaje uz dodatni poticaj utjecaj energije na život i rad ljudi i društva.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utjecaj energije na život i rad ljudi i društva. Sluša i pokazuje razumijevanje o tome kako se nekad živjelo s obzirom na izvore energije i povezuje to s važnim izumima tijekom povijesti.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utjecaj energije na život i rad ljudi i društva. Uz poticaj istražuje kako se nekad živjelo s obzirom na izvore energije i povezuje to s važnim izumima tijekom povijesti.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Opisuje i objašnjava o utjecaju energije na život i rad ljudi i društva te istražuje kako se nekad živjelo s obzirom na izvore energije i povezuje to s važnim izumima tijekom povijesti.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C5E0B3" w:themeFill="accent6" w:themeFillTint="66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color w:val="C00000"/>
                <w:sz w:val="28"/>
              </w:rPr>
            </w:pP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 xml:space="preserve"> </w:t>
            </w:r>
            <w:r>
              <w:rPr>
                <w:rFonts w:eastAsia="Calibri" w:cs="Calibri" w:cstheme="minorHAnsi"/>
                <w:b/>
                <w:color w:val="C00000"/>
                <w:kern w:val="0"/>
                <w:sz w:val="28"/>
                <w:szCs w:val="22"/>
                <w:lang w:val="hr-HR" w:eastAsia="en-US" w:bidi="ar-SA"/>
              </w:rPr>
              <w:t>ISTRAŽIVAČKI PRISTUP</w:t>
            </w:r>
          </w:p>
        </w:tc>
      </w:tr>
      <w:tr>
        <w:trPr/>
        <w:tc>
          <w:tcPr>
            <w:tcW w:w="15734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ISHOD: PID OŠ A.B.C.D.4.1. Učenik uz usmjeravanje objašnjava rezultate vlastitih istraživanja prirode,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prirodnih i/ili društvenih pojava i/ili različitih izvora informacija.</w:t>
            </w:r>
          </w:p>
        </w:tc>
      </w:tr>
      <w:tr>
        <w:trPr/>
        <w:tc>
          <w:tcPr>
            <w:tcW w:w="2662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NEDOVOLJAN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DOVOLJAN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Promatra i opisuje.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3"/>
                <w:szCs w:val="23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 xml:space="preserve">„promatra i opisuje“ 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>po zadanim elementima.</w:t>
            </w:r>
          </w:p>
        </w:tc>
        <w:tc>
          <w:tcPr>
            <w:tcW w:w="2533" w:type="dxa"/>
            <w:tcBorders/>
          </w:tcPr>
          <w:p>
            <w:pPr>
              <w:pStyle w:val="ListParagraph"/>
              <w:widowControl/>
              <w:spacing w:lineRule="auto" w:line="240" w:before="0" w:after="0"/>
              <w:ind w:left="36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Promatra, ali ne opisuje promatrane pojave/istraživanja.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ListParagraph"/>
              <w:widowControl/>
              <w:spacing w:lineRule="auto" w:line="240" w:before="0" w:after="0"/>
              <w:ind w:left="0" w:hanging="0"/>
              <w:contextualSpacing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hr-HR" w:eastAsia="en-US" w:bidi="ar-SA"/>
              </w:rPr>
              <w:t>Promatra, ali samostalno teže opisuje promatrane pojave/istraživanja.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Promatra i opisuje </w:t>
            </w:r>
            <w:r>
              <w:rPr>
                <w:rFonts w:cs="Calibri" w:cstheme="minorHAnsi"/>
                <w:kern w:val="0"/>
                <w:sz w:val="24"/>
                <w:szCs w:val="24"/>
                <w:lang w:val="hr-HR" w:bidi="ar-SA"/>
              </w:rPr>
              <w:t>promatrane pojave/istraživanja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ind w:left="35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Promatra, nabraja, opisuje i zaključuje </w:t>
            </w:r>
            <w:r>
              <w:rPr>
                <w:rFonts w:cs="Calibri" w:cstheme="minorHAnsi"/>
                <w:kern w:val="0"/>
                <w:sz w:val="24"/>
                <w:szCs w:val="24"/>
                <w:lang w:val="hr-HR" w:bidi="ar-SA"/>
              </w:rPr>
              <w:t>promatrane pojave/istraživanja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Postavlja pitanja.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„postavlja pitanja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Rijetko postavlja pitanja.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228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Postavlja jednostavna pitanja zatvorenog tipa.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Postavlja pitanja poznate forme.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Postavlja pitanja otvorenog tipa.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Postavlja pretpostavke o očekivanim rezultatima.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„postavlja pretpostavke o očekivanim rezultatima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Tek uz pomoć i relativno gotove pretpostavke o rezultatima, neke od pojašnjenih i pojednostavljenih postavlja samostalno.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Djelomično postavlja jednostavnije pretpostavke o očekivanim rezultatima.</w:t>
            </w:r>
          </w:p>
          <w:p>
            <w:pPr>
              <w:pStyle w:val="Normal"/>
              <w:widowControl/>
              <w:spacing w:lineRule="auto" w:line="240" w:before="0" w:after="0"/>
              <w:ind w:left="228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 postavlja pretpostavke o očekivanim rezultatima.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Postavlja pretpostavke o očekivanim rezultatima.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color w:val="FF0000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Planira istraživanje (na koji način doći do odgovora).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„planira istraživanje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 u radu u paru ili s učiteljem , prema unaprijed dogovorenim jednostavnim smjernicama, planira glavne korake u jednostavnijem istraživanju, u skladu sa sposobnostima.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Planira istraživanje u malim, unaprijed dogovorenim spoznajnim koracima.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Planira istraživanje, ali traži povratnu informaciju pri tome.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Samoinicijativno planira istraživanje uočavajući problem koji treba istražiti.</w:t>
            </w:r>
          </w:p>
        </w:tc>
      </w:tr>
      <w:tr>
        <w:trPr/>
        <w:tc>
          <w:tcPr>
            <w:tcW w:w="2662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Provodi jednostavna istraživanja i prikuplja podatke.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ind w:left="321" w:hanging="321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Mjeri i očitava.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ind w:left="321" w:hanging="321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Prikazuje i analizira podatke. Zaključuje.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ind w:left="321" w:hanging="321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Provjerava i uočava pogreške.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ind w:left="321" w:hanging="321"/>
              <w:contextualSpacing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novi problem.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ind w:left="321" w:hanging="321"/>
              <w:contextualSpacing/>
              <w:jc w:val="left"/>
              <w:rPr>
                <w:rFonts w:eastAsia="Times New Roman" w:cs="Calibri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Slijedi etape istraživačkoga pristupa.</w:t>
            </w:r>
          </w:p>
        </w:tc>
        <w:tc>
          <w:tcPr>
            <w:tcW w:w="2667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Učenik ne ostvaruje sastavnicu ishoda </w:t>
            </w:r>
            <w:r>
              <w:rPr>
                <w:rFonts w:eastAsia="Calibri" w:cs="Calibri" w:cstheme="minorHAnsi"/>
                <w:i/>
                <w:kern w:val="0"/>
                <w:sz w:val="24"/>
                <w:lang w:val="hr-HR" w:eastAsia="en-US" w:bidi="ar-SA"/>
              </w:rPr>
              <w:t>„provodi jednostavna istraživanja i prikuplja podatke</w:t>
            </w:r>
            <w:r>
              <w:rPr>
                <w:rFonts w:eastAsia="Times New Roman" w:cs="Calibri" w:cstheme="minorHAnsi"/>
                <w:i/>
                <w:kern w:val="0"/>
                <w:sz w:val="24"/>
                <w:szCs w:val="24"/>
                <w:lang w:val="hr-HR" w:eastAsia="hr-HR" w:bidi="ar-SA"/>
              </w:rPr>
              <w:t>“</w:t>
            </w:r>
            <w:r>
              <w:rPr>
                <w:rFonts w:eastAsia="Calibri" w:cs="Calibri" w:cstheme="minorHAnsi"/>
                <w:kern w:val="0"/>
                <w:sz w:val="24"/>
                <w:lang w:val="hr-HR" w:eastAsia="en-US" w:bidi="ar-SA"/>
              </w:rPr>
              <w:t xml:space="preserve"> po zadanim elementima.</w:t>
            </w:r>
          </w:p>
        </w:tc>
        <w:tc>
          <w:tcPr>
            <w:tcW w:w="253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Na istraživanju radi isključivo kao dio skupine pri čemu se oslanja na ostale članove. </w:t>
            </w:r>
          </w:p>
        </w:tc>
        <w:tc>
          <w:tcPr>
            <w:tcW w:w="2702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ind w:left="3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Sudjeluje u radu skupine, izvršava zadani zadatak uz češće traženje pomoći,  te se često oslanja na ostale članove skupine te samostalno ne pridonosi značajnim radom.</w:t>
            </w:r>
          </w:p>
        </w:tc>
        <w:tc>
          <w:tcPr>
            <w:tcW w:w="251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Provodi jednostavna istraživanja i prikuplja podatke.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pacing w:lineRule="auto" w:line="240" w:before="0" w:after="0"/>
              <w:ind w:left="238" w:hanging="238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Mjeri i očitava. 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pacing w:lineRule="auto" w:line="240" w:before="0" w:after="0"/>
              <w:ind w:left="238" w:hanging="238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Prikazuje i analizira podatke. 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pacing w:lineRule="auto" w:line="240" w:before="0" w:after="0"/>
              <w:ind w:left="238" w:hanging="238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Zaključuje.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Većinom slijedi etape istraživačkoga pristupa.</w:t>
            </w:r>
          </w:p>
        </w:tc>
        <w:tc>
          <w:tcPr>
            <w:tcW w:w="26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Provodi jednostavna istraživanja i prikuplja podatke. Grupa se često oslanja na ovog učenika.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pacing w:lineRule="auto" w:line="240" w:before="0" w:after="0"/>
              <w:ind w:left="343" w:hanging="284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Mjeri i očitava. 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pacing w:lineRule="auto" w:line="240" w:before="0" w:after="0"/>
              <w:ind w:left="343" w:hanging="284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Prikazuje i analizira podatke. 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pacing w:lineRule="auto" w:line="240" w:before="0" w:after="0"/>
              <w:ind w:left="343" w:hanging="284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Zaključuje. 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pacing w:lineRule="auto" w:line="240" w:before="0" w:after="0"/>
              <w:ind w:left="343" w:hanging="284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Provjerava i uočava pogreške.</w:t>
            </w:r>
          </w:p>
          <w:p>
            <w:pPr>
              <w:pStyle w:val="Normal"/>
              <w:widowControl/>
              <w:numPr>
                <w:ilvl w:val="0"/>
                <w:numId w:val="13"/>
              </w:numPr>
              <w:spacing w:lineRule="auto" w:line="240" w:before="0" w:after="0"/>
              <w:ind w:left="343" w:hanging="284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Uočava novi problem.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Slijedi etape istraživačkoga pristupa.</w:t>
            </w:r>
          </w:p>
        </w:tc>
      </w:tr>
    </w:tbl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jc w:val="center"/>
        <w:rPr>
          <w:rFonts w:cs="Calibri" w:cstheme="minorHAnsi"/>
          <w:b/>
          <w:b/>
          <w:sz w:val="28"/>
        </w:rPr>
      </w:pPr>
      <w:r>
        <w:rPr>
          <w:rFonts w:cs="Calibri" w:cstheme="minorHAnsi"/>
          <w:b/>
          <w:sz w:val="28"/>
        </w:rPr>
        <w:t>NASTAVNI PREDMET:  TJELESNA I ZDRAVSTVENA KULTURA</w:t>
      </w:r>
    </w:p>
    <w:p>
      <w:pPr>
        <w:pStyle w:val="Normal"/>
        <w:jc w:val="center"/>
        <w:rPr>
          <w:rFonts w:cs="Calibri" w:cstheme="minorHAnsi"/>
          <w:b/>
          <w:b/>
          <w:sz w:val="28"/>
        </w:rPr>
      </w:pPr>
      <w:r>
        <w:rPr>
          <w:rFonts w:cs="Calibri" w:cstheme="minorHAnsi"/>
          <w:b/>
          <w:sz w:val="28"/>
        </w:rPr>
      </w:r>
    </w:p>
    <w:p>
      <w:pPr>
        <w:pStyle w:val="Normal"/>
        <w:spacing w:lineRule="auto" w:line="240" w:beforeAutospacing="1" w:afterAutospacing="1"/>
        <w:rPr>
          <w:rFonts w:eastAsia="Times New Roman" w:cs="Calibri" w:cstheme="minorHAnsi"/>
          <w:b/>
          <w:b/>
          <w:i/>
          <w:i/>
          <w:sz w:val="28"/>
          <w:szCs w:val="24"/>
          <w:lang w:eastAsia="hr-HR"/>
        </w:rPr>
      </w:pPr>
      <w:r>
        <w:rPr>
          <w:rFonts w:eastAsia="Times New Roman" w:cs="Calibri" w:cstheme="minorHAnsi"/>
          <w:b/>
          <w:i/>
          <w:sz w:val="28"/>
          <w:szCs w:val="24"/>
          <w:lang w:eastAsia="hr-HR"/>
        </w:rPr>
        <w:t>Predmet Tjelesna i zdravstvena kultura sadrži četiri predmetna područja: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A) Kineziološka teorijska i motorička znanja (OŠ TZK A; SŠ TZK G A)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B) Morfološka obilježja, motoričke i funkcionalne sposobnosti (OŠ TZK B; SŠ TZK GB)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C) Motorička postignuća (OŠ TZK C; SŠ TZK G C)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D) Zdravstveni i odgojni učinci tjelesnog vježbanja (OŠ TZK D; SŠ TZK G D)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</w:r>
    </w:p>
    <w:p>
      <w:pPr>
        <w:pStyle w:val="Normal"/>
        <w:spacing w:lineRule="auto" w:line="240" w:beforeAutospacing="1" w:afterAutospacing="1"/>
        <w:jc w:val="both"/>
        <w:rPr>
          <w:rFonts w:eastAsia="Times New Roman" w:cs="Calibri" w:cstheme="minorHAnsi"/>
          <w:b/>
          <w:b/>
          <w:i/>
          <w:i/>
          <w:sz w:val="28"/>
          <w:szCs w:val="24"/>
          <w:lang w:eastAsia="hr-HR"/>
        </w:rPr>
      </w:pPr>
      <w:r>
        <w:rPr>
          <w:rFonts w:eastAsia="Times New Roman" w:cs="Calibri" w:cstheme="minorHAnsi"/>
          <w:b/>
          <w:i/>
          <w:sz w:val="28"/>
          <w:szCs w:val="24"/>
          <w:lang w:eastAsia="hr-HR"/>
        </w:rPr>
        <w:t>Sadržaji praćenja i provjeravanja su:</w:t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a) Motorička znanja</w:t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b) Motorička postignuća</w:t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c) Morfološke značajke, motoričke i funkcionalne sposobnosti</w:t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d) Aktivnost učenika i odgojni učinci.</w:t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U Tjelesnoj i zdravstvenoj kulturi elementi ocjenjivanja koji se neposredno kriterijski ocjenjuju su:</w:t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a) Motorička znanja</w:t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b) Motorička postignuća</w:t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i/>
          <w:i/>
          <w:sz w:val="24"/>
          <w:szCs w:val="24"/>
          <w:lang w:eastAsia="hr-HR"/>
        </w:rPr>
      </w:pPr>
      <w:r>
        <w:rPr>
          <w:rFonts w:eastAsia="Times New Roman" w:cs="Calibri" w:cstheme="minorHAnsi"/>
          <w:i/>
          <w:sz w:val="24"/>
          <w:szCs w:val="24"/>
          <w:lang w:eastAsia="hr-HR"/>
        </w:rPr>
        <w:t>c) Aktivnost učenika i odgojni učinci.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Paragraph"/>
        <w:spacing w:before="280" w:after="280"/>
        <w:textAlignment w:val="baseline"/>
        <w:rPr>
          <w:rStyle w:val="Eop"/>
          <w:rFonts w:ascii="Calibri" w:hAnsi="Calibri" w:cs="Calibri" w:asciiTheme="minorHAnsi" w:cstheme="minorHAnsi" w:hAnsiTheme="minorHAnsi"/>
          <w:b/>
          <w:b/>
          <w:sz w:val="28"/>
        </w:rPr>
      </w:pPr>
      <w:r>
        <w:rPr>
          <w:rStyle w:val="Eop"/>
          <w:rFonts w:cs="Calibri" w:ascii="Calibri" w:hAnsi="Calibri" w:asciiTheme="minorHAnsi" w:cstheme="minorHAnsi" w:hAnsiTheme="minorHAnsi"/>
          <w:b/>
          <w:sz w:val="28"/>
        </w:rPr>
        <w:t xml:space="preserve">Tekst u kurzivu je u cijelosti preuzet iz Kurikuluma za </w:t>
      </w:r>
      <w:r>
        <w:rPr>
          <w:rFonts w:cs="Calibri" w:ascii="Calibri" w:hAnsi="Calibri" w:asciiTheme="minorHAnsi" w:cstheme="minorHAnsi" w:hAnsiTheme="minorHAnsi"/>
          <w:b/>
          <w:sz w:val="28"/>
        </w:rPr>
        <w:t>Tjelesnu i zdravstvenu kulturu</w:t>
      </w:r>
      <w:r>
        <w:rPr>
          <w:rStyle w:val="Eop"/>
          <w:rFonts w:cs="Calibri" w:ascii="Calibri" w:hAnsi="Calibri" w:asciiTheme="minorHAnsi" w:cstheme="minorHAnsi" w:hAnsiTheme="minorHAnsi"/>
          <w:b/>
          <w:sz w:val="28"/>
        </w:rPr>
        <w:t>.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p>
      <w:pPr>
        <w:pStyle w:val="Normal"/>
        <w:ind w:firstLine="360"/>
        <w:jc w:val="both"/>
        <w:rPr>
          <w:rStyle w:val="Kurziv"/>
          <w:rFonts w:cs="Calibri" w:cstheme="minorHAnsi"/>
          <w:sz w:val="24"/>
          <w:szCs w:val="24"/>
        </w:rPr>
      </w:pPr>
      <w:r>
        <w:rPr>
          <w:sz w:val="24"/>
          <w:szCs w:val="24"/>
        </w:rPr>
        <w:t xml:space="preserve">Kako je u nastavnom predmetu Tjelesna i zdravstvena kultura </w:t>
      </w:r>
      <w:r>
        <w:rPr>
          <w:rFonts w:cs="Calibri" w:cstheme="minorHAnsi"/>
          <w:sz w:val="24"/>
          <w:szCs w:val="24"/>
        </w:rPr>
        <w:t>rezultat rada uvelike ovisi o fizičkim karakteristikama učenika</w:t>
      </w:r>
      <w:r>
        <w:rPr>
          <w:sz w:val="24"/>
          <w:szCs w:val="24"/>
        </w:rPr>
        <w:t>, u praksi se pokazalo kako učenici os</w:t>
      </w:r>
      <w:r>
        <w:rPr>
          <w:rStyle w:val="Kurziv"/>
          <w:rFonts w:cs="Calibri" w:cstheme="minorHAnsi"/>
          <w:sz w:val="24"/>
          <w:szCs w:val="24"/>
        </w:rPr>
        <w:t>tvaruju zadane ishode na najmanjoj razini ocjene dobar te da je sve ispod te razine demotivirajuće za učenika.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eastAsia="Times New Roman" w:cs="Calibri" w:cstheme="minorHAnsi"/>
          <w:b/>
          <w:sz w:val="24"/>
          <w:szCs w:val="24"/>
          <w:lang w:eastAsia="hr-HR"/>
        </w:rPr>
        <w:t>Zdravstveni i odgojni učinci tjelesnog vježbanja</w:t>
      </w:r>
      <w:r>
        <w:rPr>
          <w:rFonts w:eastAsia="Times New Roman" w:cs="Calibri" w:cstheme="minorHAnsi"/>
          <w:sz w:val="24"/>
          <w:szCs w:val="24"/>
          <w:lang w:eastAsia="hr-HR"/>
        </w:rPr>
        <w:t xml:space="preserve"> </w:t>
      </w:r>
      <w:r>
        <w:rPr>
          <w:rFonts w:cs="Calibri" w:cstheme="minorHAnsi"/>
          <w:sz w:val="24"/>
          <w:szCs w:val="24"/>
        </w:rPr>
        <w:t>u kojemu će se vrednovati učenički odnos prema aktivnosti i njihova uključenost u iste uvelike ovisi o osobnosti učenika te u tom predmetnom području učenik može ostvariti ocjene od odličan do nedovoljan.</w:t>
      </w:r>
    </w:p>
    <w:p>
      <w:pPr>
        <w:pStyle w:val="Normal"/>
        <w:ind w:firstLine="360"/>
        <w:jc w:val="both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4"/>
          <w:szCs w:val="24"/>
          <w:lang w:eastAsia="hr-HR"/>
        </w:rPr>
      </w:pPr>
      <w:r>
        <w:rPr>
          <w:rFonts w:eastAsia="Times New Roman" w:cs="Calibri" w:cstheme="minorHAnsi"/>
          <w:sz w:val="24"/>
          <w:szCs w:val="24"/>
          <w:lang w:eastAsia="hr-HR"/>
        </w:rPr>
      </w:r>
    </w:p>
    <w:tbl>
      <w:tblPr>
        <w:tblStyle w:val="TableGrid1"/>
        <w:tblW w:w="15986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1" w:lastColumn="0" w:noHBand="0" w:val="0480"/>
      </w:tblPr>
      <w:tblGrid>
        <w:gridCol w:w="2978"/>
        <w:gridCol w:w="2126"/>
        <w:gridCol w:w="2268"/>
        <w:gridCol w:w="283"/>
        <w:gridCol w:w="2694"/>
        <w:gridCol w:w="1276"/>
        <w:gridCol w:w="1558"/>
        <w:gridCol w:w="2802"/>
      </w:tblGrid>
      <w:tr>
        <w:trPr/>
        <w:tc>
          <w:tcPr>
            <w:tcW w:w="15985" w:type="dxa"/>
            <w:gridSpan w:val="8"/>
            <w:tcBorders/>
            <w:shd w:color="auto" w:fill="C5E0B3" w:themeFill="accent6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color w:val="C00000"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color w:val="C00000"/>
                <w:kern w:val="0"/>
                <w:sz w:val="28"/>
                <w:szCs w:val="24"/>
                <w:lang w:val="hr-HR" w:eastAsia="hr-HR" w:bidi="ar-SA"/>
              </w:rPr>
              <w:t>Predmetno područje A: Kineziološka teorijska i motorička znanja</w:t>
            </w:r>
          </w:p>
        </w:tc>
      </w:tr>
      <w:tr>
        <w:trPr/>
        <w:tc>
          <w:tcPr>
            <w:tcW w:w="15985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TZK A.4.1. Oponaša osnovne strukture gibanja raznovrsnih grupacija sportova.</w:t>
            </w:r>
          </w:p>
        </w:tc>
      </w:tr>
      <w:tr>
        <w:trPr/>
        <w:tc>
          <w:tcPr>
            <w:tcW w:w="2978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RAZRADA ISHODA</w:t>
            </w:r>
          </w:p>
        </w:tc>
        <w:tc>
          <w:tcPr>
            <w:tcW w:w="4394" w:type="dxa"/>
            <w:gridSpan w:val="2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DOBAR</w:t>
            </w:r>
          </w:p>
        </w:tc>
        <w:tc>
          <w:tcPr>
            <w:tcW w:w="4253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VRLO DOBAR</w:t>
            </w:r>
          </w:p>
        </w:tc>
        <w:tc>
          <w:tcPr>
            <w:tcW w:w="43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2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978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Primjenjuje osnovne strukture gibanja raznovrsnih grupacija sportova.</w:t>
            </w:r>
          </w:p>
        </w:tc>
        <w:tc>
          <w:tcPr>
            <w:tcW w:w="439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ind w:left="-36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Oponaša osnovne strukture gibanja raznovrsnih grupacija sportova na početnoj razini.</w:t>
            </w:r>
          </w:p>
        </w:tc>
        <w:tc>
          <w:tcPr>
            <w:tcW w:w="4253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Oponaša osnovne strukture gibanja raznovrsnih grupacija sportova na prosječnoj razini.</w:t>
            </w:r>
          </w:p>
        </w:tc>
        <w:tc>
          <w:tcPr>
            <w:tcW w:w="43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Oponaša osnovne strukture gibanja raznovrsnih grupacija sportova na višoj razini.</w:t>
            </w:r>
          </w:p>
        </w:tc>
      </w:tr>
      <w:tr>
        <w:trPr/>
        <w:tc>
          <w:tcPr>
            <w:tcW w:w="15985" w:type="dxa"/>
            <w:gridSpan w:val="8"/>
            <w:tcBorders>
              <w:top w:val="single" w:sz="18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TZK A.4.2. Prepoznaje i izvodi ritmičke i plesne strukture u jednostavnim koreografijama.</w:t>
            </w:r>
          </w:p>
        </w:tc>
      </w:tr>
      <w:tr>
        <w:trPr/>
        <w:tc>
          <w:tcPr>
            <w:tcW w:w="2978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RAZRADA ISHODA </w:t>
            </w:r>
          </w:p>
        </w:tc>
        <w:tc>
          <w:tcPr>
            <w:tcW w:w="4394" w:type="dxa"/>
            <w:gridSpan w:val="2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4253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43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978" w:type="dxa"/>
            <w:tcBorders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Izvodi ritmičke i plesne strukture u jednostavnim koreografijama.</w:t>
            </w:r>
          </w:p>
        </w:tc>
        <w:tc>
          <w:tcPr>
            <w:tcW w:w="4394" w:type="dxa"/>
            <w:gridSpan w:val="2"/>
            <w:tcBorders>
              <w:left w:val="double" w:sz="12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Nevoljko te na temelju dobivenih uputa izvodi ritmičke i plesne strukture jednostavnih koreografija.</w:t>
            </w:r>
          </w:p>
        </w:tc>
        <w:tc>
          <w:tcPr>
            <w:tcW w:w="4253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Izvodi ritmičke i plesne strukture jednostavnih koreografija na temelju dobivenih uputa.</w:t>
            </w:r>
          </w:p>
        </w:tc>
        <w:tc>
          <w:tcPr>
            <w:tcW w:w="4360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Točno izvodi ritmičke i plesne strukture jednostavnih koreografija.</w:t>
            </w:r>
          </w:p>
        </w:tc>
      </w:tr>
      <w:tr>
        <w:trPr/>
        <w:tc>
          <w:tcPr>
            <w:tcW w:w="2978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Sudjeluje u osmišljavanju jednostavne koreografije.</w:t>
            </w:r>
          </w:p>
        </w:tc>
        <w:tc>
          <w:tcPr>
            <w:tcW w:w="439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Nevoljko sudjeluje u osmišljavanju jednostavne koreografije.</w:t>
            </w:r>
          </w:p>
        </w:tc>
        <w:tc>
          <w:tcPr>
            <w:tcW w:w="4253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poticaj sudjeluje u osmišljavanju jednostavne koreografije.</w:t>
            </w:r>
          </w:p>
        </w:tc>
        <w:tc>
          <w:tcPr>
            <w:tcW w:w="43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Sudjeluje u osmišljavanju jednostavne koreografije.</w:t>
            </w:r>
          </w:p>
        </w:tc>
      </w:tr>
      <w:tr>
        <w:trPr/>
        <w:tc>
          <w:tcPr>
            <w:tcW w:w="15985" w:type="dxa"/>
            <w:gridSpan w:val="8"/>
            <w:tcBorders>
              <w:bottom w:val="single" w:sz="6" w:space="0" w:color="000000"/>
            </w:tcBorders>
            <w:shd w:color="auto" w:fill="C5E0B3" w:themeFill="accent6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color w:val="C00000"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color w:val="C00000"/>
                <w:kern w:val="0"/>
                <w:sz w:val="28"/>
                <w:szCs w:val="28"/>
                <w:lang w:val="hr-HR" w:eastAsia="hr-HR" w:bidi="ar-SA"/>
              </w:rPr>
              <w:t>Predmetno područje B: Morfološka obilježja, motoričke i funkcionalne sposobnosti</w:t>
            </w:r>
          </w:p>
        </w:tc>
      </w:tr>
      <w:tr>
        <w:trPr/>
        <w:tc>
          <w:tcPr>
            <w:tcW w:w="15985" w:type="dxa"/>
            <w:gridSpan w:val="8"/>
            <w:tcBorders>
              <w:top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 xml:space="preserve">ISHOD: OŠ TZK B.4.1. Sudjeluje u provjeravanju morfoloških obilježja, motoričkih i funkcionalnih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sposobnosti te obilježja pravilnoga tjelesnog držanja.</w:t>
            </w:r>
          </w:p>
        </w:tc>
      </w:tr>
      <w:tr>
        <w:trPr/>
        <w:tc>
          <w:tcPr>
            <w:tcW w:w="7655" w:type="dxa"/>
            <w:gridSpan w:val="4"/>
            <w:tcBorders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Prepoznaje morfološke značajke, motoričke i funkcionalne sposobnosti i obilježja pravilnoga tjelesnog držanja.</w:t>
            </w:r>
          </w:p>
        </w:tc>
        <w:tc>
          <w:tcPr>
            <w:tcW w:w="8330" w:type="dxa"/>
            <w:gridSpan w:val="4"/>
            <w:tcBorders>
              <w:left w:val="double" w:sz="12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ishoda se prati i ne podliježe vrednovanju.</w:t>
            </w:r>
          </w:p>
        </w:tc>
      </w:tr>
      <w:tr>
        <w:trPr/>
        <w:tc>
          <w:tcPr>
            <w:tcW w:w="15985" w:type="dxa"/>
            <w:gridSpan w:val="8"/>
            <w:tcBorders>
              <w:top w:val="single" w:sz="6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TZK B.4.2. Izvodi primjerene vježbe za razvoj motoričkih i funkcionalnih sposobnosti.</w:t>
            </w:r>
          </w:p>
        </w:tc>
      </w:tr>
      <w:tr>
        <w:trPr/>
        <w:tc>
          <w:tcPr>
            <w:tcW w:w="2978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 xml:space="preserve">RAZRADA ISHODA </w:t>
            </w:r>
          </w:p>
        </w:tc>
        <w:tc>
          <w:tcPr>
            <w:tcW w:w="4394" w:type="dxa"/>
            <w:gridSpan w:val="2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4253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4360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978" w:type="dxa"/>
            <w:tcBorders>
              <w:right w:val="double" w:sz="12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Izvodi primjerene vježbe za razvoj motoričkih i funkcionalnih sposobnosti, vježbe pokretljivosti zglobova i stabilnosti trupa.</w:t>
            </w:r>
          </w:p>
        </w:tc>
        <w:tc>
          <w:tcPr>
            <w:tcW w:w="4394" w:type="dxa"/>
            <w:gridSpan w:val="2"/>
            <w:tcBorders>
              <w:left w:val="double" w:sz="12" w:space="0" w:color="000000"/>
            </w:tcBorders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korekcije i dodatne upute izvodi primjerene vježbe za razvoj motoričkih i funkcionalnih sposobnosti, vježbe pokretljivosti zglobova i stabilnosti trupa.</w:t>
            </w:r>
          </w:p>
        </w:tc>
        <w:tc>
          <w:tcPr>
            <w:tcW w:w="4253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Uglavnom pravilno izvodi primjerene vježbe za razvoj motoričkih i funkcionalnih sposobnosti, vježbe pokretljivosti zglobova i stabilnosti trupa.</w:t>
            </w:r>
          </w:p>
        </w:tc>
        <w:tc>
          <w:tcPr>
            <w:tcW w:w="4360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Pravilno izvodi primjerene vježbe za razvoj motoričkih i funkcionalnih sposobnosti, vježbe pokretljivosti zglobova i stabilnosti trupa, uviđa funkcionalnost navedenih vježbi.</w:t>
            </w:r>
          </w:p>
        </w:tc>
      </w:tr>
      <w:tr>
        <w:trPr/>
        <w:tc>
          <w:tcPr>
            <w:tcW w:w="15985" w:type="dxa"/>
            <w:gridSpan w:val="8"/>
            <w:tcBorders/>
            <w:shd w:color="auto" w:fill="C5E0B3" w:themeFill="accent6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color w:val="C00000"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color w:val="C00000"/>
                <w:kern w:val="0"/>
                <w:sz w:val="28"/>
                <w:szCs w:val="24"/>
                <w:lang w:val="hr-HR" w:eastAsia="hr-HR" w:bidi="ar-SA"/>
              </w:rPr>
              <w:t>Predmetno područje C: Motorička postignuća</w:t>
            </w:r>
          </w:p>
        </w:tc>
      </w:tr>
      <w:tr>
        <w:trPr/>
        <w:tc>
          <w:tcPr>
            <w:tcW w:w="15985" w:type="dxa"/>
            <w:gridSpan w:val="8"/>
            <w:tcBorders/>
            <w:shd w:color="auto" w:fill="DEEAF6" w:themeFill="accent1" w:themeFillTint="33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8"/>
                <w:szCs w:val="28"/>
                <w:lang w:val="hr-HR" w:eastAsia="hr-HR" w:bidi="ar-SA"/>
              </w:rPr>
              <w:t>ISHOD: OŠ TZK C.4.1. Prati osobna motorička postignuća i njihovo unaprjeđenje.</w:t>
            </w:r>
          </w:p>
        </w:tc>
      </w:tr>
      <w:tr>
        <w:trPr/>
        <w:tc>
          <w:tcPr>
            <w:tcW w:w="7655" w:type="dxa"/>
            <w:gridSpan w:val="4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b/>
                <w:kern w:val="0"/>
                <w:sz w:val="24"/>
                <w:lang w:val="hr-HR" w:bidi="ar-SA"/>
              </w:rPr>
              <w:t>RAZRADA ISHODA: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Prati i uspoređuje osobna postignuća.</w:t>
            </w:r>
          </w:p>
        </w:tc>
        <w:tc>
          <w:tcPr>
            <w:tcW w:w="8330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b/>
                <w:b/>
                <w:sz w:val="24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b/>
                <w:b/>
                <w:sz w:val="24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ishoda se prati i ne podliježe vrednovanju.</w:t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8"/>
                <w:lang w:val="hr-HR" w:eastAsia="hr-HR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</w:r>
          </w:p>
        </w:tc>
      </w:tr>
      <w:tr>
        <w:trPr/>
        <w:tc>
          <w:tcPr>
            <w:tcW w:w="15985" w:type="dxa"/>
            <w:gridSpan w:val="8"/>
            <w:tcBorders/>
            <w:shd w:color="auto" w:fill="C5E0B3" w:themeFill="accent6" w:themeFillTint="66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color w:val="C00000"/>
                <w:sz w:val="28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color w:val="C00000"/>
                <w:kern w:val="0"/>
                <w:sz w:val="28"/>
                <w:szCs w:val="24"/>
                <w:lang w:val="hr-HR" w:eastAsia="hr-HR" w:bidi="ar-SA"/>
              </w:rPr>
              <w:t>Predmetno područje D: Zdravstveni i odgojni učinci tjelesnog vježbanja</w:t>
            </w:r>
          </w:p>
        </w:tc>
      </w:tr>
      <w:tr>
        <w:trPr/>
        <w:tc>
          <w:tcPr>
            <w:tcW w:w="15985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TZK A. D 4.1. Izvodi naprednije kineziološke motoričke aktivnosti na otvorenom.</w:t>
            </w:r>
          </w:p>
        </w:tc>
      </w:tr>
      <w:tr>
        <w:trPr/>
        <w:tc>
          <w:tcPr>
            <w:tcW w:w="2978" w:type="dxa"/>
            <w:tcBorders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cs="Calibri" w:cstheme="minorHAnsi"/>
                <w:b/>
                <w:kern w:val="0"/>
                <w:sz w:val="24"/>
                <w:lang w:val="hr-HR" w:bidi="ar-SA"/>
              </w:rPr>
              <w:t>RAZRADA ISHODA: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</w:p>
        </w:tc>
        <w:tc>
          <w:tcPr>
            <w:tcW w:w="4394" w:type="dxa"/>
            <w:gridSpan w:val="2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hr-HR" w:bidi="ar-SA"/>
              </w:rPr>
              <w:t>DOBAR</w:t>
            </w:r>
          </w:p>
        </w:tc>
        <w:tc>
          <w:tcPr>
            <w:tcW w:w="4253" w:type="dxa"/>
            <w:gridSpan w:val="3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hr-HR" w:bidi="ar-SA"/>
              </w:rPr>
              <w:t>VRLO DOBAR</w:t>
            </w:r>
          </w:p>
        </w:tc>
        <w:tc>
          <w:tcPr>
            <w:tcW w:w="4360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cs="Calibri" w:cstheme="minorHAnsi"/>
                <w:b/>
                <w:kern w:val="0"/>
                <w:sz w:val="24"/>
                <w:szCs w:val="24"/>
                <w:lang w:val="hr-HR" w:bidi="ar-SA"/>
              </w:rPr>
              <w:t>ODLIČAN</w:t>
            </w:r>
          </w:p>
        </w:tc>
      </w:tr>
      <w:tr>
        <w:trPr/>
        <w:tc>
          <w:tcPr>
            <w:tcW w:w="2978" w:type="dxa"/>
            <w:tcBorders>
              <w:righ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Sudjeluje u tjelesnim aktivnostima na otvorenom ovisno o posebnostima zavičaja.</w:t>
            </w:r>
          </w:p>
        </w:tc>
        <w:tc>
          <w:tcPr>
            <w:tcW w:w="4394" w:type="dxa"/>
            <w:gridSpan w:val="2"/>
            <w:tcBorders>
              <w:left w:val="double" w:sz="12" w:space="0" w:color="000000"/>
            </w:tcBorders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Nevoljko se i uz dodatnu motivaciju uključuje u tjelesnim aktivnostima na otvorenom.</w:t>
            </w:r>
          </w:p>
        </w:tc>
        <w:tc>
          <w:tcPr>
            <w:tcW w:w="4253" w:type="dxa"/>
            <w:gridSpan w:val="3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Uz manje poticaje uključuje se u tjelesne aktivnosti na otvorenom.</w:t>
            </w:r>
          </w:p>
        </w:tc>
        <w:tc>
          <w:tcPr>
            <w:tcW w:w="4360" w:type="dxa"/>
            <w:gridSpan w:val="2"/>
            <w:tcBorders/>
            <w:shd w:color="auto" w:fill="FFFFFF" w:themeFill="background1" w:val="clear"/>
          </w:tcPr>
          <w:p>
            <w:pPr>
              <w:pStyle w:val="Normal"/>
              <w:widowControl/>
              <w:spacing w:lineRule="auto" w:line="240" w:before="0" w:after="0"/>
              <w:ind w:left="82" w:hanging="0"/>
              <w:jc w:val="left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Rado i bez poticaja sudjeluje u tjelesnim aktivnostima na otvorenom pri čemu svojim elanom motivira i potiče i druge učenike na aktivnost.</w:t>
            </w:r>
          </w:p>
        </w:tc>
      </w:tr>
      <w:tr>
        <w:trPr/>
        <w:tc>
          <w:tcPr>
            <w:tcW w:w="15985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OŠ TZK D.4.2. Izvodi vježbe za aktivaciju sustava za kretanje.</w:t>
            </w:r>
          </w:p>
        </w:tc>
      </w:tr>
      <w:tr>
        <w:trPr/>
        <w:tc>
          <w:tcPr>
            <w:tcW w:w="7655" w:type="dxa"/>
            <w:gridSpan w:val="4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b/>
                <w:kern w:val="0"/>
                <w:sz w:val="24"/>
                <w:lang w:val="hr-HR" w:bidi="ar-SA"/>
              </w:rPr>
              <w:t>RAZRADA ISHODA: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Koristi se vježbama za aktivaciju sustava za kretanje (vježbe aktivacije trupa, uspostave pravilnog obrasca disanja te aktivacije mišića gornjih i donjih udova).</w:t>
            </w:r>
          </w:p>
        </w:tc>
        <w:tc>
          <w:tcPr>
            <w:tcW w:w="8330" w:type="dxa"/>
            <w:gridSpan w:val="4"/>
            <w:tcBorders>
              <w:left w:val="doub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1" w:hanging="32"/>
              <w:jc w:val="center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ishoda se prati i ne podliježe vrednovanju.</w:t>
            </w:r>
          </w:p>
        </w:tc>
      </w:tr>
      <w:tr>
        <w:trPr/>
        <w:tc>
          <w:tcPr>
            <w:tcW w:w="15985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TZK D.4.3. Priprema i skrbi o sportskom vježbalištu.</w:t>
            </w:r>
          </w:p>
        </w:tc>
      </w:tr>
      <w:tr>
        <w:trPr/>
        <w:tc>
          <w:tcPr>
            <w:tcW w:w="7655" w:type="dxa"/>
            <w:gridSpan w:val="4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cs="Calibri" w:cstheme="minorHAnsi"/>
                <w:b/>
                <w:kern w:val="0"/>
                <w:sz w:val="24"/>
                <w:lang w:val="hr-HR" w:bidi="ar-SA"/>
              </w:rPr>
              <w:t>RAZRADA ISHODA:</w:t>
            </w: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Sudjeluje u akcijama uređenja sportskog vježbališta.</w:t>
            </w:r>
          </w:p>
        </w:tc>
        <w:tc>
          <w:tcPr>
            <w:tcW w:w="8330" w:type="dxa"/>
            <w:gridSpan w:val="4"/>
            <w:tcBorders>
              <w:left w:val="doub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31" w:hanging="32"/>
              <w:jc w:val="center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b/>
                <w:kern w:val="0"/>
                <w:sz w:val="24"/>
                <w:szCs w:val="28"/>
                <w:lang w:val="hr-HR" w:eastAsia="hr-HR" w:bidi="ar-SA"/>
              </w:rPr>
              <w:t>Ostvarivanje ishoda se prati i ne podliježe vrednovanju.</w:t>
            </w:r>
          </w:p>
        </w:tc>
      </w:tr>
      <w:tr>
        <w:trPr/>
        <w:tc>
          <w:tcPr>
            <w:tcW w:w="15985" w:type="dxa"/>
            <w:gridSpan w:val="8"/>
            <w:tcBorders/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 w:cs="Calibri" w:cstheme="minorHAnsi"/>
                <w:b/>
                <w:b/>
                <w:bCs/>
                <w:sz w:val="28"/>
                <w:szCs w:val="28"/>
                <w:lang w:eastAsia="hr-HR"/>
              </w:rPr>
            </w:pPr>
            <w:r>
              <w:rPr>
                <w:rFonts w:eastAsia="Times New Roman" w:cs="Calibri" w:cstheme="minorHAnsi"/>
                <w:b/>
                <w:bCs/>
                <w:kern w:val="0"/>
                <w:sz w:val="28"/>
                <w:szCs w:val="28"/>
                <w:lang w:val="hr-HR" w:eastAsia="hr-HR" w:bidi="ar-SA"/>
              </w:rPr>
              <w:t>ISHOD: OŠ TZK D.4.4. Primjenjuje pravila raznovrsnih sportova.</w:t>
            </w:r>
          </w:p>
        </w:tc>
      </w:tr>
      <w:tr>
        <w:trPr/>
        <w:tc>
          <w:tcPr>
            <w:tcW w:w="2978" w:type="dxa"/>
            <w:tcBorders>
              <w:top w:val="nil"/>
              <w:right w:val="double" w:sz="12" w:space="0" w:color="000000"/>
            </w:tcBorders>
            <w:shd w:color="auto" w:fill="DEEAF6" w:themeFill="accent1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NEDOVOLJAN</w:t>
            </w:r>
          </w:p>
        </w:tc>
        <w:tc>
          <w:tcPr>
            <w:tcW w:w="255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DOVOLJAN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DOBAR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VRLO DOBAR</w:t>
            </w:r>
          </w:p>
        </w:tc>
        <w:tc>
          <w:tcPr>
            <w:tcW w:w="28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Calibri" w:cstheme="minorHAnsi"/>
                <w:b/>
                <w:b/>
                <w:sz w:val="24"/>
                <w:szCs w:val="24"/>
              </w:rPr>
            </w:pPr>
            <w:r>
              <w:rPr>
                <w:rFonts w:eastAsia="Calibri" w:cs="Calibri" w:cstheme="minorHAnsi"/>
                <w:b/>
                <w:kern w:val="0"/>
                <w:sz w:val="24"/>
                <w:szCs w:val="24"/>
                <w:lang w:val="hr-HR" w:eastAsia="en-US" w:bidi="ar-SA"/>
              </w:rPr>
              <w:t>ODLIČAN</w:t>
            </w:r>
          </w:p>
        </w:tc>
      </w:tr>
      <w:tr>
        <w:trPr/>
        <w:tc>
          <w:tcPr>
            <w:tcW w:w="2978" w:type="dxa"/>
            <w:tcBorders>
              <w:righ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Surađuje tijekom igre i primjenjuje pravila iz raznovrsnih grupacija sportova.</w:t>
            </w:r>
          </w:p>
        </w:tc>
        <w:tc>
          <w:tcPr>
            <w:tcW w:w="2126" w:type="dxa"/>
            <w:tcBorders>
              <w:left w:val="double" w:sz="1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Ne shvaća pravila niti njihovu važnost u igri.</w:t>
            </w:r>
          </w:p>
        </w:tc>
        <w:tc>
          <w:tcPr>
            <w:tcW w:w="255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Pravila igre shvaća i prihvaća tek uz stalne intervencije učitelja.</w:t>
            </w:r>
          </w:p>
        </w:tc>
        <w:tc>
          <w:tcPr>
            <w:tcW w:w="269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Prihvaća samo neka od postavljenih pravila igre.</w:t>
            </w:r>
          </w:p>
        </w:tc>
        <w:tc>
          <w:tcPr>
            <w:tcW w:w="28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Prihvaća i slijedi postavljena pravila uz manje opomene i podsjećanja na isto.</w:t>
            </w:r>
          </w:p>
        </w:tc>
        <w:tc>
          <w:tcPr>
            <w:tcW w:w="280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Times New Roman" w:cs="Calibri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="Calibri" w:cstheme="minorHAnsi"/>
                <w:kern w:val="0"/>
                <w:sz w:val="24"/>
                <w:szCs w:val="24"/>
                <w:lang w:val="hr-HR" w:eastAsia="hr-HR" w:bidi="ar-SA"/>
              </w:rPr>
              <w:t>Prihvaća, slijedi i razumije postavljena pravila igre.</w:t>
            </w:r>
          </w:p>
        </w:tc>
      </w:tr>
    </w:tbl>
    <w:p>
      <w:pPr>
        <w:pStyle w:val="Box459587"/>
        <w:spacing w:before="280" w:after="280"/>
        <w:jc w:val="both"/>
        <w:rPr>
          <w:rFonts w:ascii="Calibri" w:hAnsi="Calibri" w:cs="Calibri" w:asciiTheme="minorHAnsi" w:cstheme="minorHAnsi" w:hAnsiTheme="minorHAnsi"/>
        </w:rPr>
      </w:pPr>
      <w:r>
        <w:rPr/>
      </w:r>
    </w:p>
    <w:sectPr>
      <w:type w:val="nextPage"/>
      <w:pgSz w:orient="landscape" w:w="16838" w:h="11906"/>
      <w:pgMar w:left="1417" w:right="1417" w:header="0" w:top="709" w:footer="0" w:bottom="426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208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0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2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4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6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68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0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2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44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"/>
      <w:lvlJc w:val="left"/>
      <w:pPr>
        <w:tabs>
          <w:tab w:val="num" w:pos="0"/>
        </w:tabs>
        <w:ind w:left="8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62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"/>
      <w:lvlJc w:val="left"/>
      <w:pPr>
        <w:tabs>
          <w:tab w:val="num" w:pos="0"/>
        </w:tabs>
        <w:ind w:left="8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62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"/>
      <w:lvlJc w:val="left"/>
      <w:pPr>
        <w:tabs>
          <w:tab w:val="num" w:pos="0"/>
        </w:tabs>
        <w:ind w:left="8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62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8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62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d20eb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uiPriority w:val="99"/>
    <w:qFormat/>
    <w:rsid w:val="00394d17"/>
    <w:rPr/>
  </w:style>
  <w:style w:type="character" w:styleId="PodnojeChar" w:customStyle="1">
    <w:name w:val="Podnožje Char"/>
    <w:basedOn w:val="DefaultParagraphFont"/>
    <w:link w:val="Podnoje"/>
    <w:uiPriority w:val="99"/>
    <w:qFormat/>
    <w:rsid w:val="00394d17"/>
    <w:rPr/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6d0bc6"/>
    <w:rPr>
      <w:rFonts w:ascii="Segoe UI" w:hAnsi="Segoe UI" w:cs="Segoe UI"/>
      <w:sz w:val="18"/>
      <w:szCs w:val="18"/>
    </w:rPr>
  </w:style>
  <w:style w:type="character" w:styleId="Kurziv" w:customStyle="1">
    <w:name w:val="kurziv"/>
    <w:basedOn w:val="DefaultParagraphFont"/>
    <w:qFormat/>
    <w:rsid w:val="001c372c"/>
    <w:rPr/>
  </w:style>
  <w:style w:type="character" w:styleId="Normaltextrun" w:customStyle="1">
    <w:name w:val="normaltextrun"/>
    <w:basedOn w:val="DefaultParagraphFont"/>
    <w:qFormat/>
    <w:rsid w:val="009162e1"/>
    <w:rPr/>
  </w:style>
  <w:style w:type="character" w:styleId="Eop" w:customStyle="1">
    <w:name w:val="eop"/>
    <w:basedOn w:val="DefaultParagraphFont"/>
    <w:qFormat/>
    <w:rsid w:val="009162e1"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uiPriority w:val="99"/>
    <w:unhideWhenUsed/>
    <w:rsid w:val="00394d1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noje">
    <w:name w:val="Footer"/>
    <w:basedOn w:val="Normal"/>
    <w:link w:val="PodnojeChar"/>
    <w:uiPriority w:val="99"/>
    <w:unhideWhenUsed/>
    <w:rsid w:val="00394d17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nhideWhenUsed/>
    <w:qFormat/>
    <w:rsid w:val="00394d1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6d0bc6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6d0bc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Box459587" w:customStyle="1">
    <w:name w:val="box_459587"/>
    <w:basedOn w:val="Normal"/>
    <w:qFormat/>
    <w:rsid w:val="00363bd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Box459484" w:customStyle="1">
    <w:name w:val="box_459484"/>
    <w:basedOn w:val="Normal"/>
    <w:qFormat/>
    <w:rsid w:val="001c372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Paragraph" w:customStyle="1">
    <w:name w:val="paragraph"/>
    <w:basedOn w:val="Normal"/>
    <w:qFormat/>
    <w:rsid w:val="009162e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Box459469" w:customStyle="1">
    <w:name w:val="box_459469"/>
    <w:basedOn w:val="Normal"/>
    <w:qFormat/>
    <w:rsid w:val="007d419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Default" w:customStyle="1">
    <w:name w:val="Default"/>
    <w:uiPriority w:val="99"/>
    <w:qFormat/>
    <w:rsid w:val="007a4c5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/>
      <w:color w:val="000000"/>
      <w:kern w:val="0"/>
      <w:sz w:val="24"/>
      <w:szCs w:val="24"/>
      <w:lang w:val="hr-HR" w:eastAsia="en-US" w:bidi="ar-SA"/>
    </w:rPr>
  </w:style>
  <w:style w:type="paragraph" w:styleId="Box459495" w:customStyle="1">
    <w:name w:val="box_459495"/>
    <w:basedOn w:val="Normal"/>
    <w:qFormat/>
    <w:rsid w:val="007a4c5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Box459516" w:customStyle="1">
    <w:name w:val="box_459516"/>
    <w:basedOn w:val="Normal"/>
    <w:qFormat/>
    <w:rsid w:val="007329b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T8" w:customStyle="1">
    <w:name w:val="t-8"/>
    <w:basedOn w:val="Normal"/>
    <w:qFormat/>
    <w:rsid w:val="0073449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394d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Obinatablica"/>
    <w:uiPriority w:val="39"/>
    <w:rsid w:val="001b256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B7D9E-27B8-4697-90A5-4AAB572C2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Application>LibreOffice/7.0.1.2$Windows_X86_64 LibreOffice_project/7cbcfc562f6eb6708b5ff7d7397325de9e764452</Application>
  <Pages>63</Pages>
  <Words>21599</Words>
  <Characters>140105</Characters>
  <CharactersWithSpaces>160208</CharactersWithSpaces>
  <Paragraphs>1837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2019-11-28T14:02:00Z</dcterms:created>
  <dc:creator>Vlatka</dc:creator>
  <dc:description/>
  <dc:language>hr-HR</dc:language>
  <cp:lastModifiedBy/>
  <cp:lastPrinted>2021-09-07T14:21:00Z</cp:lastPrinted>
  <dcterms:modified xsi:type="dcterms:W3CDTF">2026-08-28T14:41:02Z</dcterms:modified>
  <cp:revision>146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